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AC" w:rsidRPr="00AF09DE" w:rsidRDefault="00CD1AFA" w:rsidP="00F81F94">
      <w:pPr>
        <w:shd w:val="clear" w:color="auto" w:fill="FFFFFF"/>
        <w:spacing w:after="0" w:line="240" w:lineRule="auto"/>
        <w:rPr>
          <w:rFonts w:ascii="Cambria" w:hAnsi="Cambria"/>
          <w:b/>
          <w:sz w:val="18"/>
          <w:szCs w:val="18"/>
        </w:rPr>
      </w:pPr>
      <w:bookmarkStart w:id="0" w:name="OLE_LINK2"/>
      <w:bookmarkStart w:id="1" w:name="OLE_LINK1"/>
      <w:r w:rsidRPr="00CD1AFA">
        <w:rPr>
          <w:rFonts w:ascii="Cambria" w:hAnsi="Cambria"/>
          <w:noProof/>
          <w:sz w:val="17"/>
          <w:szCs w:val="17"/>
          <w:lang w:bidi="ar-SA"/>
        </w:rPr>
        <w:pict>
          <v:shapetype id="_x0000_t202" coordsize="21600,21600" o:spt="202" path="m,l,21600r21600,l21600,xe">
            <v:stroke joinstyle="miter"/>
            <v:path gradientshapeok="t" o:connecttype="rect"/>
          </v:shapetype>
          <v:shape id="Text Box 3" o:spid="_x0000_s1026" type="#_x0000_t202" style="position:absolute;margin-left:343.5pt;margin-top:-4.35pt;width:124.5pt;height:7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" filled="f" stroked="f" strokecolor="#76923c" strokeweight="2.25pt">
            <v:textbox>
              <w:txbxContent>
                <w:p w:rsidR="00830BEE" w:rsidRPr="00ED35A3" w:rsidRDefault="00830BEE" w:rsidP="007912EB">
                  <w:pPr>
                    <w:spacing w:after="0" w:line="240" w:lineRule="auto"/>
                    <w:jc w:val="center"/>
                    <w:rPr>
                      <w:rFonts w:ascii="Old English Text MT" w:hAnsi="Old English Text MT"/>
                      <w:shadow/>
                      <w:color w:val="002060"/>
                      <w:sz w:val="36"/>
                      <w:szCs w:val="36"/>
                    </w:rPr>
                  </w:pPr>
                  <w:r w:rsidRPr="00ED35A3">
                    <w:rPr>
                      <w:rFonts w:ascii="Old English Text MT" w:hAnsi="Old English Text MT"/>
                      <w:shadow/>
                      <w:color w:val="002060"/>
                      <w:sz w:val="36"/>
                      <w:szCs w:val="36"/>
                    </w:rPr>
                    <w:t xml:space="preserve">Advances </w:t>
                  </w:r>
                </w:p>
                <w:p w:rsidR="00830BEE" w:rsidRPr="00ED35A3" w:rsidRDefault="00830BEE" w:rsidP="007912EB">
                  <w:pPr>
                    <w:spacing w:after="0" w:line="240" w:lineRule="auto"/>
                    <w:jc w:val="center"/>
                    <w:rPr>
                      <w:rFonts w:ascii="Old English Text MT" w:hAnsi="Old English Text MT"/>
                      <w:shadow/>
                      <w:color w:val="002060"/>
                      <w:sz w:val="36"/>
                      <w:szCs w:val="36"/>
                    </w:rPr>
                  </w:pPr>
                  <w:r w:rsidRPr="00ED35A3">
                    <w:rPr>
                      <w:rFonts w:ascii="Old English Text MT" w:hAnsi="Old English Text MT"/>
                      <w:shadow/>
                      <w:color w:val="002060"/>
                      <w:sz w:val="36"/>
                      <w:szCs w:val="36"/>
                    </w:rPr>
                    <w:t xml:space="preserve">in  </w:t>
                  </w:r>
                </w:p>
                <w:p w:rsidR="00830BEE" w:rsidRPr="00ED35A3" w:rsidRDefault="00830BEE" w:rsidP="007912EB">
                  <w:pPr>
                    <w:spacing w:after="0" w:line="240" w:lineRule="auto"/>
                    <w:jc w:val="center"/>
                    <w:rPr>
                      <w:rFonts w:ascii="Old English Text MT" w:hAnsi="Old English Text MT"/>
                      <w:shadow/>
                      <w:color w:val="002060"/>
                      <w:sz w:val="36"/>
                      <w:szCs w:val="36"/>
                    </w:rPr>
                  </w:pPr>
                  <w:r w:rsidRPr="00ED35A3">
                    <w:rPr>
                      <w:rFonts w:ascii="Old English Text MT" w:hAnsi="Old English Text MT"/>
                      <w:shadow/>
                      <w:color w:val="002060"/>
                      <w:sz w:val="36"/>
                      <w:szCs w:val="36"/>
                    </w:rPr>
                    <w:t>Bioresearch</w:t>
                  </w:r>
                </w:p>
              </w:txbxContent>
            </v:textbox>
          </v:shape>
        </w:pict>
      </w:r>
      <w:r w:rsidR="000012AC" w:rsidRPr="00AF09DE">
        <w:rPr>
          <w:rFonts w:ascii="Cambria" w:hAnsi="Cambria"/>
          <w:b/>
          <w:sz w:val="18"/>
          <w:szCs w:val="18"/>
        </w:rPr>
        <w:t>Advances in Bioresearch</w:t>
      </w:r>
    </w:p>
    <w:p w:rsidR="00F83FF6" w:rsidRDefault="00F81F94" w:rsidP="00F81F94">
      <w:pPr>
        <w:shd w:val="clear" w:color="auto" w:fill="FFFFFF"/>
        <w:spacing w:after="0" w:line="240" w:lineRule="auto"/>
        <w:rPr>
          <w:rFonts w:ascii="Cambria" w:hAnsi="Cambria"/>
          <w:sz w:val="17"/>
          <w:szCs w:val="17"/>
        </w:rPr>
      </w:pPr>
      <w:r w:rsidRPr="00AF09DE">
        <w:rPr>
          <w:rFonts w:ascii="Cambria" w:hAnsi="Cambria"/>
          <w:sz w:val="17"/>
          <w:szCs w:val="17"/>
        </w:rPr>
        <w:t xml:space="preserve">Adv. Biores., Vol </w:t>
      </w:r>
      <w:r w:rsidR="00E30B46" w:rsidRPr="00AF09DE">
        <w:rPr>
          <w:rFonts w:ascii="Cambria" w:hAnsi="Cambria"/>
          <w:sz w:val="17"/>
          <w:szCs w:val="17"/>
        </w:rPr>
        <w:t>6</w:t>
      </w:r>
      <w:r w:rsidRPr="00AF09DE">
        <w:rPr>
          <w:rFonts w:ascii="Cambria" w:hAnsi="Cambria"/>
          <w:sz w:val="17"/>
          <w:szCs w:val="17"/>
        </w:rPr>
        <w:t xml:space="preserve"> (</w:t>
      </w:r>
      <w:r w:rsidR="000E79F0">
        <w:rPr>
          <w:rFonts w:ascii="Cambria" w:hAnsi="Cambria"/>
          <w:sz w:val="17"/>
          <w:szCs w:val="17"/>
        </w:rPr>
        <w:t>4</w:t>
      </w:r>
      <w:r w:rsidR="000012AC" w:rsidRPr="00AF09DE">
        <w:rPr>
          <w:rFonts w:ascii="Cambria" w:hAnsi="Cambria"/>
          <w:sz w:val="17"/>
          <w:szCs w:val="17"/>
        </w:rPr>
        <w:t xml:space="preserve">) </w:t>
      </w:r>
      <w:r w:rsidR="000E79F0">
        <w:rPr>
          <w:rFonts w:ascii="Cambria" w:hAnsi="Cambria"/>
          <w:sz w:val="17"/>
          <w:szCs w:val="17"/>
        </w:rPr>
        <w:t>July</w:t>
      </w:r>
      <w:r w:rsidR="0037681D">
        <w:rPr>
          <w:rFonts w:ascii="Cambria" w:hAnsi="Cambria"/>
          <w:sz w:val="17"/>
          <w:szCs w:val="17"/>
        </w:rPr>
        <w:t xml:space="preserve"> 2015</w:t>
      </w:r>
      <w:r w:rsidR="000012AC" w:rsidRPr="00AF09DE">
        <w:rPr>
          <w:rFonts w:ascii="Cambria" w:hAnsi="Cambria"/>
          <w:sz w:val="17"/>
          <w:szCs w:val="17"/>
        </w:rPr>
        <w:t>:</w:t>
      </w:r>
      <w:r w:rsidR="00A32FEA">
        <w:rPr>
          <w:rFonts w:ascii="Cambria" w:hAnsi="Cambria"/>
          <w:sz w:val="17"/>
          <w:szCs w:val="17"/>
        </w:rPr>
        <w:t xml:space="preserve"> </w:t>
      </w:r>
      <w:r w:rsidR="00875667">
        <w:rPr>
          <w:rFonts w:ascii="Cambria" w:hAnsi="Cambria"/>
          <w:sz w:val="17"/>
          <w:szCs w:val="17"/>
        </w:rPr>
        <w:t>1</w:t>
      </w:r>
      <w:r w:rsidR="00D913C5">
        <w:rPr>
          <w:rFonts w:ascii="Cambria" w:hAnsi="Cambria"/>
          <w:sz w:val="17"/>
          <w:szCs w:val="17"/>
        </w:rPr>
        <w:t>4</w:t>
      </w:r>
      <w:r w:rsidR="002B5765">
        <w:rPr>
          <w:rFonts w:ascii="Cambria" w:hAnsi="Cambria"/>
          <w:sz w:val="17"/>
          <w:szCs w:val="17"/>
        </w:rPr>
        <w:t>8</w:t>
      </w:r>
      <w:r w:rsidR="00D913C5">
        <w:rPr>
          <w:rFonts w:ascii="Cambria" w:hAnsi="Cambria"/>
          <w:sz w:val="17"/>
          <w:szCs w:val="17"/>
        </w:rPr>
        <w:t>-1</w:t>
      </w:r>
      <w:r w:rsidR="002B5765">
        <w:rPr>
          <w:rFonts w:ascii="Cambria" w:hAnsi="Cambria"/>
          <w:sz w:val="17"/>
          <w:szCs w:val="17"/>
        </w:rPr>
        <w:t>51</w:t>
      </w:r>
    </w:p>
    <w:p w:rsidR="000012AC" w:rsidRPr="00AF09DE" w:rsidRDefault="000012AC" w:rsidP="00F81F94">
      <w:pPr>
        <w:shd w:val="clear" w:color="auto" w:fill="FFFFFF"/>
        <w:spacing w:after="0" w:line="240" w:lineRule="auto"/>
        <w:rPr>
          <w:rFonts w:ascii="Cambria" w:hAnsi="Cambria"/>
          <w:sz w:val="17"/>
          <w:szCs w:val="17"/>
        </w:rPr>
      </w:pPr>
      <w:r w:rsidRPr="00AF09DE">
        <w:rPr>
          <w:rFonts w:ascii="Cambria" w:hAnsi="Cambria"/>
          <w:sz w:val="17"/>
          <w:szCs w:val="17"/>
        </w:rPr>
        <w:t>©201</w:t>
      </w:r>
      <w:r w:rsidR="00AE7E77" w:rsidRPr="00AF09DE">
        <w:rPr>
          <w:rFonts w:ascii="Cambria" w:hAnsi="Cambria"/>
          <w:sz w:val="17"/>
          <w:szCs w:val="17"/>
        </w:rPr>
        <w:t>5</w:t>
      </w:r>
      <w:r w:rsidRPr="00AF09DE">
        <w:rPr>
          <w:rFonts w:ascii="Cambria" w:hAnsi="Cambria"/>
          <w:sz w:val="17"/>
          <w:szCs w:val="17"/>
        </w:rPr>
        <w:t xml:space="preserve"> Society of Education, India</w:t>
      </w:r>
    </w:p>
    <w:p w:rsidR="000012AC" w:rsidRPr="00AF09DE" w:rsidRDefault="000012AC" w:rsidP="00F81F94">
      <w:pPr>
        <w:shd w:val="clear" w:color="auto" w:fill="FFFFFF"/>
        <w:tabs>
          <w:tab w:val="left" w:pos="5940"/>
        </w:tabs>
        <w:spacing w:after="0" w:line="240" w:lineRule="auto"/>
        <w:rPr>
          <w:rFonts w:ascii="Cambria" w:hAnsi="Cambria"/>
          <w:sz w:val="17"/>
          <w:szCs w:val="17"/>
        </w:rPr>
      </w:pPr>
      <w:r w:rsidRPr="00AF09DE">
        <w:rPr>
          <w:rFonts w:ascii="Cambria" w:hAnsi="Cambria"/>
          <w:sz w:val="17"/>
          <w:szCs w:val="17"/>
        </w:rPr>
        <w:t>Print ISSN 0976-4585; Online ISSN 2277-1573</w:t>
      </w:r>
      <w:r w:rsidRPr="00AF09DE">
        <w:rPr>
          <w:rFonts w:ascii="Cambria" w:hAnsi="Cambria"/>
          <w:sz w:val="17"/>
          <w:szCs w:val="17"/>
        </w:rPr>
        <w:tab/>
      </w:r>
    </w:p>
    <w:p w:rsidR="000012AC" w:rsidRPr="00AF09DE" w:rsidRDefault="000012AC" w:rsidP="00F81F94">
      <w:pPr>
        <w:shd w:val="clear" w:color="auto" w:fill="FFFFFF"/>
        <w:spacing w:after="0" w:line="240" w:lineRule="auto"/>
        <w:rPr>
          <w:rFonts w:ascii="Cambria" w:hAnsi="Cambria"/>
          <w:sz w:val="17"/>
          <w:szCs w:val="17"/>
        </w:rPr>
      </w:pPr>
      <w:r w:rsidRPr="00AF09DE">
        <w:rPr>
          <w:rFonts w:ascii="Cambria" w:hAnsi="Cambria"/>
          <w:sz w:val="17"/>
          <w:szCs w:val="17"/>
        </w:rPr>
        <w:t>Journal’s URL:http://www.soeagra.com/abr.html</w:t>
      </w:r>
    </w:p>
    <w:p w:rsidR="000012AC" w:rsidRPr="00AF09DE" w:rsidRDefault="000012AC" w:rsidP="00F81F94">
      <w:pPr>
        <w:shd w:val="clear" w:color="auto" w:fill="FFFFFF"/>
        <w:spacing w:after="0" w:line="240" w:lineRule="auto"/>
        <w:rPr>
          <w:rFonts w:ascii="Cambria" w:hAnsi="Cambria"/>
          <w:sz w:val="17"/>
          <w:szCs w:val="17"/>
        </w:rPr>
      </w:pPr>
      <w:r w:rsidRPr="00AF09DE">
        <w:rPr>
          <w:rFonts w:ascii="Cambria" w:hAnsi="Cambria"/>
          <w:sz w:val="17"/>
          <w:szCs w:val="17"/>
        </w:rPr>
        <w:t>CODEN: ABRDC3</w:t>
      </w:r>
    </w:p>
    <w:p w:rsidR="000012AC" w:rsidRPr="00AF09DE" w:rsidRDefault="000012AC" w:rsidP="00F81F94">
      <w:pPr>
        <w:shd w:val="clear" w:color="auto" w:fill="FFFFFF"/>
        <w:spacing w:after="0" w:line="240" w:lineRule="auto"/>
        <w:rPr>
          <w:rFonts w:ascii="Cambria" w:hAnsi="Cambria"/>
          <w:sz w:val="17"/>
          <w:szCs w:val="17"/>
        </w:rPr>
      </w:pPr>
      <w:r w:rsidRPr="00AF09DE">
        <w:rPr>
          <w:rFonts w:ascii="Cambria" w:hAnsi="Cambria"/>
          <w:sz w:val="17"/>
          <w:szCs w:val="17"/>
        </w:rPr>
        <w:t>ICV 7.20 [Poland]</w:t>
      </w:r>
    </w:p>
    <w:p w:rsidR="000012AC" w:rsidRPr="00AF09DE" w:rsidRDefault="00CD1AFA" w:rsidP="00F81F94">
      <w:pPr>
        <w:spacing w:after="0" w:line="240" w:lineRule="auto"/>
        <w:jc w:val="center"/>
        <w:rPr>
          <w:rFonts w:ascii="Cambria" w:hAnsi="Cambria"/>
          <w:b/>
          <w:sz w:val="20"/>
          <w:szCs w:val="20"/>
        </w:rPr>
      </w:pPr>
      <w:r>
        <w:rPr>
          <w:rFonts w:ascii="Cambria" w:hAnsi="Cambria"/>
          <w:b/>
          <w:noProof/>
          <w:sz w:val="20"/>
          <w:szCs w:val="20"/>
          <w:lang w:bidi="ar-SA"/>
        </w:rPr>
        <w:pict>
          <v:shapetype id="_x0000_t32" coordsize="21600,21600" o:spt="32" o:oned="t" path="m,l21600,21600e" filled="f">
            <v:path arrowok="t" fillok="f" o:connecttype="none"/>
            <o:lock v:ext="edit" shapetype="t"/>
          </v:shapetype>
          <v:shape id="AutoShape 2" o:spid="_x0000_s1052" type="#_x0000_t32" style="position:absolute;left:0;text-align:left;margin-left:.75pt;margin-top:3.75pt;width:45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" strokecolor="#17365d [2415]" strokeweight="2.25pt"/>
        </w:pict>
      </w:r>
    </w:p>
    <w:p w:rsidR="00F81F94" w:rsidRPr="00180004" w:rsidRDefault="002B5765" w:rsidP="00F81F94">
      <w:pPr>
        <w:spacing w:after="0" w:line="240" w:lineRule="auto"/>
        <w:jc w:val="center"/>
        <w:rPr>
          <w:rFonts w:ascii="Cambria" w:hAnsi="Cambria"/>
          <w:b/>
          <w:shadow/>
          <w:color w:val="002060"/>
          <w:sz w:val="28"/>
          <w:szCs w:val="28"/>
        </w:rPr>
      </w:pPr>
      <w:r>
        <w:rPr>
          <w:rFonts w:ascii="Cambria" w:hAnsi="Cambria"/>
          <w:b/>
          <w:shadow/>
          <w:color w:val="002060"/>
          <w:sz w:val="28"/>
          <w:szCs w:val="28"/>
        </w:rPr>
        <w:t>CASE REPORT</w:t>
      </w:r>
    </w:p>
    <w:p w:rsidR="00DD7B64" w:rsidRPr="00DD7B64" w:rsidRDefault="00DD7B64" w:rsidP="002777A2">
      <w:pPr>
        <w:tabs>
          <w:tab w:val="left" w:pos="7803"/>
        </w:tabs>
        <w:spacing w:after="0" w:line="240" w:lineRule="auto"/>
        <w:jc w:val="center"/>
        <w:rPr>
          <w:rFonts w:cs="Times New Roman"/>
          <w:b/>
          <w:sz w:val="20"/>
          <w:szCs w:val="20"/>
        </w:rPr>
      </w:pPr>
    </w:p>
    <w:p w:rsidR="00DF7D4B" w:rsidRPr="002D0D69" w:rsidRDefault="00DF7D4B" w:rsidP="002B5765">
      <w:pPr>
        <w:spacing w:after="0" w:line="240" w:lineRule="auto"/>
        <w:jc w:val="center"/>
        <w:rPr>
          <w:b/>
          <w:color w:val="000000"/>
          <w:sz w:val="30"/>
          <w:szCs w:val="30"/>
        </w:rPr>
      </w:pPr>
      <w:r w:rsidRPr="002D0D69">
        <w:rPr>
          <w:rFonts w:cs="Times New Roman"/>
          <w:b/>
          <w:sz w:val="30"/>
          <w:szCs w:val="30"/>
        </w:rPr>
        <w:t>An Atypical Complication of Dengue Haemorrhagic Fever: Acute Intracranial Hemorrhage</w:t>
      </w:r>
    </w:p>
    <w:p w:rsidR="00DF7D4B" w:rsidRDefault="00DF7D4B" w:rsidP="002B5765">
      <w:pPr>
        <w:spacing w:after="0" w:line="240" w:lineRule="auto"/>
        <w:jc w:val="center"/>
        <w:rPr>
          <w:rFonts w:cs="Times New Roman"/>
          <w:b/>
          <w:sz w:val="20"/>
          <w:szCs w:val="20"/>
        </w:rPr>
      </w:pPr>
    </w:p>
    <w:p w:rsidR="00DF7D4B" w:rsidRPr="009E5B51" w:rsidRDefault="00DF7D4B" w:rsidP="002B5765">
      <w:pPr>
        <w:spacing w:after="0" w:line="240" w:lineRule="auto"/>
        <w:jc w:val="center"/>
        <w:rPr>
          <w:rFonts w:cs="Times New Roman"/>
          <w:b/>
          <w:sz w:val="20"/>
          <w:szCs w:val="20"/>
        </w:rPr>
      </w:pPr>
      <w:r w:rsidRPr="009E5B51">
        <w:rPr>
          <w:rFonts w:cs="Times New Roman"/>
          <w:sz w:val="20"/>
          <w:szCs w:val="20"/>
          <w:vertAlign w:val="superscript"/>
        </w:rPr>
        <w:t>1</w:t>
      </w:r>
      <w:r w:rsidRPr="009E5B51">
        <w:rPr>
          <w:rFonts w:cs="Times New Roman"/>
          <w:b/>
          <w:sz w:val="20"/>
          <w:szCs w:val="20"/>
        </w:rPr>
        <w:t xml:space="preserve">Jitendra Singh, </w:t>
      </w:r>
      <w:r w:rsidRPr="009E5B51">
        <w:rPr>
          <w:rFonts w:cs="Times New Roman"/>
          <w:sz w:val="20"/>
          <w:szCs w:val="20"/>
          <w:vertAlign w:val="superscript"/>
        </w:rPr>
        <w:t>2</w:t>
      </w:r>
      <w:r w:rsidRPr="009E5B51">
        <w:rPr>
          <w:rFonts w:cs="Times New Roman"/>
          <w:b/>
          <w:sz w:val="20"/>
          <w:szCs w:val="20"/>
        </w:rPr>
        <w:t xml:space="preserve">Anju Dinkar , </w:t>
      </w:r>
      <w:r w:rsidRPr="009E5B51">
        <w:rPr>
          <w:rFonts w:cs="Times New Roman"/>
          <w:sz w:val="20"/>
          <w:szCs w:val="20"/>
          <w:vertAlign w:val="superscript"/>
        </w:rPr>
        <w:t>3</w:t>
      </w:r>
      <w:r w:rsidRPr="009E5B51">
        <w:rPr>
          <w:rFonts w:cs="Times New Roman"/>
          <w:b/>
          <w:sz w:val="20"/>
          <w:szCs w:val="20"/>
        </w:rPr>
        <w:t xml:space="preserve">Virendra Atam, </w:t>
      </w:r>
      <w:r w:rsidRPr="009E5B51">
        <w:rPr>
          <w:rFonts w:cs="Times New Roman"/>
          <w:sz w:val="20"/>
          <w:szCs w:val="20"/>
          <w:vertAlign w:val="superscript"/>
        </w:rPr>
        <w:t>4</w:t>
      </w:r>
      <w:r w:rsidRPr="009E5B51">
        <w:rPr>
          <w:rFonts w:cs="Times New Roman"/>
          <w:b/>
          <w:sz w:val="20"/>
          <w:szCs w:val="20"/>
        </w:rPr>
        <w:t>Ravi Misra,</w:t>
      </w:r>
      <w:r w:rsidRPr="000E1D2C">
        <w:rPr>
          <w:rFonts w:cs="Times New Roman"/>
          <w:sz w:val="20"/>
          <w:szCs w:val="20"/>
          <w:vertAlign w:val="superscript"/>
        </w:rPr>
        <w:t xml:space="preserve"> </w:t>
      </w:r>
      <w:r w:rsidRPr="009E5B51">
        <w:rPr>
          <w:rFonts w:cs="Times New Roman"/>
          <w:sz w:val="20"/>
          <w:szCs w:val="20"/>
          <w:vertAlign w:val="superscript"/>
        </w:rPr>
        <w:t>5</w:t>
      </w:r>
      <w:r w:rsidRPr="009E5B51">
        <w:rPr>
          <w:rFonts w:cs="Times New Roman"/>
          <w:b/>
          <w:sz w:val="20"/>
          <w:szCs w:val="20"/>
        </w:rPr>
        <w:t>Saurabh Kumar</w:t>
      </w:r>
    </w:p>
    <w:p w:rsidR="00DF7D4B" w:rsidRDefault="00DF7D4B" w:rsidP="002B5765">
      <w:pPr>
        <w:spacing w:after="0" w:line="240" w:lineRule="auto"/>
        <w:jc w:val="center"/>
        <w:rPr>
          <w:rFonts w:cs="Times New Roman"/>
          <w:sz w:val="20"/>
          <w:szCs w:val="20"/>
        </w:rPr>
      </w:pPr>
      <w:r w:rsidRPr="009E5B51">
        <w:rPr>
          <w:rFonts w:cs="Times New Roman"/>
          <w:sz w:val="20"/>
          <w:szCs w:val="20"/>
          <w:vertAlign w:val="superscript"/>
        </w:rPr>
        <w:t>1</w:t>
      </w:r>
      <w:r w:rsidRPr="002D0D69">
        <w:rPr>
          <w:rFonts w:cs="Times New Roman"/>
          <w:sz w:val="20"/>
          <w:szCs w:val="20"/>
        </w:rPr>
        <w:t>Senior Resident, Department of Medicine, King George Medical University, Lucknow, UP, India</w:t>
      </w:r>
    </w:p>
    <w:p w:rsidR="00DF7D4B" w:rsidRDefault="00DF7D4B" w:rsidP="002B5765">
      <w:pPr>
        <w:spacing w:after="0" w:line="240" w:lineRule="auto"/>
        <w:jc w:val="center"/>
        <w:rPr>
          <w:rFonts w:cs="Times New Roman"/>
          <w:sz w:val="20"/>
          <w:szCs w:val="20"/>
        </w:rPr>
      </w:pPr>
      <w:r w:rsidRPr="009E5B51">
        <w:rPr>
          <w:rFonts w:cs="Times New Roman"/>
          <w:sz w:val="20"/>
          <w:szCs w:val="20"/>
          <w:vertAlign w:val="superscript"/>
        </w:rPr>
        <w:t>2</w:t>
      </w:r>
      <w:r w:rsidRPr="002D0D69">
        <w:rPr>
          <w:rFonts w:cs="Times New Roman"/>
          <w:sz w:val="20"/>
          <w:szCs w:val="20"/>
        </w:rPr>
        <w:t>Senior Resident, Department of Microbiology, Sanjay Gandhi Postgraduate Institute of Medical Sciences</w:t>
      </w:r>
      <w:r>
        <w:rPr>
          <w:rFonts w:cs="Times New Roman"/>
          <w:sz w:val="20"/>
          <w:szCs w:val="20"/>
        </w:rPr>
        <w:t xml:space="preserve">, </w:t>
      </w:r>
      <w:r w:rsidRPr="002D0D69">
        <w:rPr>
          <w:rFonts w:cs="Times New Roman"/>
          <w:sz w:val="20"/>
          <w:szCs w:val="20"/>
        </w:rPr>
        <w:t>Lucknow, U.P, India</w:t>
      </w:r>
    </w:p>
    <w:p w:rsidR="00DF7D4B" w:rsidRDefault="00DF7D4B" w:rsidP="002B5765">
      <w:pPr>
        <w:spacing w:after="0" w:line="240" w:lineRule="auto"/>
        <w:jc w:val="center"/>
        <w:rPr>
          <w:rFonts w:cs="Times New Roman"/>
          <w:sz w:val="20"/>
          <w:szCs w:val="20"/>
        </w:rPr>
      </w:pPr>
      <w:r w:rsidRPr="009E5B51">
        <w:rPr>
          <w:rFonts w:cs="Times New Roman"/>
          <w:sz w:val="20"/>
          <w:szCs w:val="20"/>
          <w:vertAlign w:val="superscript"/>
        </w:rPr>
        <w:t>3</w:t>
      </w:r>
      <w:r w:rsidRPr="002D0D69">
        <w:rPr>
          <w:rFonts w:cs="Times New Roman"/>
          <w:sz w:val="20"/>
          <w:szCs w:val="20"/>
        </w:rPr>
        <w:t>Professor, Department of Medicine, King   George Medical University, Lucknow, UP, India</w:t>
      </w:r>
    </w:p>
    <w:p w:rsidR="00DF7D4B" w:rsidRDefault="00DF7D4B" w:rsidP="002B5765">
      <w:pPr>
        <w:spacing w:after="0" w:line="240" w:lineRule="auto"/>
        <w:jc w:val="center"/>
        <w:rPr>
          <w:rFonts w:cs="Times New Roman"/>
          <w:sz w:val="20"/>
          <w:szCs w:val="20"/>
        </w:rPr>
      </w:pPr>
      <w:r w:rsidRPr="009E5B51">
        <w:rPr>
          <w:rFonts w:cs="Times New Roman"/>
          <w:sz w:val="20"/>
          <w:szCs w:val="20"/>
          <w:vertAlign w:val="superscript"/>
        </w:rPr>
        <w:t>4</w:t>
      </w:r>
      <w:r w:rsidRPr="002D0D69">
        <w:rPr>
          <w:rFonts w:cs="Times New Roman"/>
          <w:sz w:val="20"/>
          <w:szCs w:val="20"/>
        </w:rPr>
        <w:t>Professor and Head, Department of Medicine, King George Medical University, Lucknow, UP, India</w:t>
      </w:r>
    </w:p>
    <w:p w:rsidR="00DF7D4B" w:rsidRDefault="00DF7D4B" w:rsidP="002B5765">
      <w:pPr>
        <w:spacing w:after="0" w:line="240" w:lineRule="auto"/>
        <w:jc w:val="center"/>
      </w:pPr>
      <w:r w:rsidRPr="009E5B51">
        <w:rPr>
          <w:rFonts w:cs="Times New Roman"/>
          <w:sz w:val="20"/>
          <w:szCs w:val="20"/>
          <w:vertAlign w:val="superscript"/>
        </w:rPr>
        <w:t>5</w:t>
      </w:r>
      <w:r w:rsidRPr="002D0D69">
        <w:rPr>
          <w:rFonts w:cs="Times New Roman"/>
          <w:sz w:val="20"/>
          <w:szCs w:val="20"/>
        </w:rPr>
        <w:t>Junior Resident, Department of Radiodiagnosis, King George Medical University, Lucknow, UP, India</w:t>
      </w:r>
    </w:p>
    <w:p w:rsidR="00DF7D4B" w:rsidRDefault="00DF7D4B" w:rsidP="002B5765">
      <w:pPr>
        <w:spacing w:after="0" w:line="240" w:lineRule="auto"/>
        <w:jc w:val="both"/>
        <w:rPr>
          <w:rFonts w:cs="Times New Roman"/>
          <w:b/>
          <w:sz w:val="20"/>
          <w:szCs w:val="20"/>
        </w:rPr>
      </w:pPr>
    </w:p>
    <w:p w:rsidR="00DF7D4B" w:rsidRPr="009F6054" w:rsidRDefault="00DF7D4B" w:rsidP="002B5765">
      <w:pPr>
        <w:shd w:val="clear" w:color="auto" w:fill="F2F2F2" w:themeFill="background1" w:themeFillShade="F2"/>
        <w:spacing w:after="0" w:line="240" w:lineRule="auto"/>
        <w:jc w:val="center"/>
        <w:rPr>
          <w:rFonts w:cs="Times New Roman"/>
          <w:b/>
          <w:sz w:val="18"/>
          <w:szCs w:val="18"/>
        </w:rPr>
      </w:pPr>
      <w:r w:rsidRPr="009F6054">
        <w:rPr>
          <w:rFonts w:cs="Times New Roman"/>
          <w:b/>
          <w:sz w:val="18"/>
          <w:szCs w:val="18"/>
        </w:rPr>
        <w:t>ABSTRACT</w:t>
      </w:r>
    </w:p>
    <w:p w:rsidR="00DF7D4B" w:rsidRPr="009F6054" w:rsidRDefault="00DF7D4B" w:rsidP="002B5765">
      <w:pPr>
        <w:shd w:val="clear" w:color="auto" w:fill="F2F2F2" w:themeFill="background1" w:themeFillShade="F2"/>
        <w:spacing w:after="0" w:line="240" w:lineRule="auto"/>
        <w:jc w:val="both"/>
        <w:rPr>
          <w:rFonts w:cs="Times New Roman"/>
          <w:i/>
          <w:sz w:val="18"/>
          <w:szCs w:val="18"/>
        </w:rPr>
      </w:pPr>
      <w:r w:rsidRPr="009F6054">
        <w:rPr>
          <w:rFonts w:cs="Times New Roman"/>
          <w:i/>
          <w:sz w:val="18"/>
          <w:szCs w:val="18"/>
        </w:rPr>
        <w:t>Dengue is arboviral infection transmitted by Aedes aegypt mosquitoes found in tropical and subtropical climates. Dengue infection can manifest a variety of systemic complications ranging from self-limiting and mild to life-threatening conditions. Recently it is seen that clinical profile of dengue is changing, and neurological manifestations are being reported more frequently. One of them is intracerebral hemorrhage which is reported very rarely. Hereby we reported a 62-year old male of dengue hemorrhagic fever who was found to have intracerebral bleed on investigations. He recovered almost completely on conservative treatment.</w:t>
      </w:r>
    </w:p>
    <w:p w:rsidR="00DF7D4B" w:rsidRPr="009F6054" w:rsidRDefault="00DF7D4B" w:rsidP="002B5765">
      <w:pPr>
        <w:shd w:val="clear" w:color="auto" w:fill="F2F2F2" w:themeFill="background1" w:themeFillShade="F2"/>
        <w:spacing w:after="0" w:line="240" w:lineRule="auto"/>
        <w:jc w:val="both"/>
        <w:rPr>
          <w:rFonts w:cs="Times New Roman"/>
          <w:b/>
          <w:i/>
          <w:color w:val="FF0000"/>
          <w:sz w:val="18"/>
          <w:szCs w:val="18"/>
        </w:rPr>
      </w:pPr>
      <w:r w:rsidRPr="009F6054">
        <w:rPr>
          <w:b/>
          <w:i/>
          <w:sz w:val="18"/>
          <w:szCs w:val="18"/>
        </w:rPr>
        <w:t>Keywords;</w:t>
      </w:r>
      <w:r w:rsidRPr="009F6054">
        <w:rPr>
          <w:i/>
          <w:sz w:val="18"/>
          <w:szCs w:val="18"/>
        </w:rPr>
        <w:t xml:space="preserve"> </w:t>
      </w:r>
      <w:r w:rsidRPr="009F6054">
        <w:rPr>
          <w:rFonts w:cs="Times New Roman"/>
          <w:i/>
          <w:sz w:val="18"/>
          <w:szCs w:val="18"/>
        </w:rPr>
        <w:t xml:space="preserve">Dengue fever, Dengue hemorrhagic fever, </w:t>
      </w:r>
      <w:r w:rsidRPr="009F6054">
        <w:rPr>
          <w:rFonts w:cs="Times New Roman"/>
          <w:i/>
          <w:sz w:val="18"/>
          <w:szCs w:val="18"/>
          <w:lang w:eastAsia="en-IN"/>
        </w:rPr>
        <w:t>Encephalopathy, Intracerebral bleed, Inracranial hemorrhage</w:t>
      </w:r>
    </w:p>
    <w:p w:rsidR="00DF7D4B" w:rsidRDefault="00DF7D4B" w:rsidP="002B5765">
      <w:pPr>
        <w:shd w:val="clear" w:color="auto" w:fill="F2F2F2" w:themeFill="background1" w:themeFillShade="F2"/>
        <w:spacing w:after="0" w:line="240" w:lineRule="auto"/>
        <w:jc w:val="both"/>
        <w:rPr>
          <w:rFonts w:ascii="Cambria" w:hAnsi="Cambria"/>
          <w:sz w:val="18"/>
          <w:szCs w:val="18"/>
        </w:rPr>
      </w:pPr>
    </w:p>
    <w:p w:rsidR="00DF7D4B" w:rsidRPr="00E715AB" w:rsidRDefault="00DF7D4B" w:rsidP="002B5765">
      <w:pPr>
        <w:shd w:val="clear" w:color="auto" w:fill="F2F2F2" w:themeFill="background1" w:themeFillShade="F2"/>
        <w:spacing w:after="0" w:line="240" w:lineRule="auto"/>
        <w:jc w:val="both"/>
        <w:rPr>
          <w:rFonts w:ascii="Cambria" w:hAnsi="Cambria" w:cs="Times"/>
          <w:color w:val="231F20"/>
          <w:sz w:val="18"/>
          <w:szCs w:val="18"/>
        </w:rPr>
      </w:pPr>
      <w:r w:rsidRPr="006676D3">
        <w:rPr>
          <w:rFonts w:ascii="Cambria" w:hAnsi="Cambria"/>
          <w:sz w:val="18"/>
          <w:szCs w:val="18"/>
        </w:rPr>
        <w:t xml:space="preserve">Received </w:t>
      </w:r>
      <w:r>
        <w:rPr>
          <w:rFonts w:ascii="Cambria" w:hAnsi="Cambria"/>
          <w:sz w:val="18"/>
          <w:szCs w:val="18"/>
        </w:rPr>
        <w:t>28/04/2015 Accepted 0</w:t>
      </w:r>
      <w:r w:rsidRPr="006676D3">
        <w:rPr>
          <w:rFonts w:ascii="Cambria" w:hAnsi="Cambria"/>
          <w:sz w:val="18"/>
          <w:szCs w:val="18"/>
        </w:rPr>
        <w:t>4/0</w:t>
      </w:r>
      <w:r>
        <w:rPr>
          <w:rFonts w:ascii="Cambria" w:hAnsi="Cambria"/>
          <w:sz w:val="18"/>
          <w:szCs w:val="18"/>
        </w:rPr>
        <w:t>7</w:t>
      </w:r>
      <w:r w:rsidRPr="006676D3">
        <w:rPr>
          <w:rFonts w:ascii="Cambria" w:hAnsi="Cambria"/>
          <w:sz w:val="18"/>
          <w:szCs w:val="18"/>
        </w:rPr>
        <w:t xml:space="preserve">/2015                                                                          </w:t>
      </w:r>
      <w:r>
        <w:rPr>
          <w:rFonts w:ascii="Cambria" w:hAnsi="Cambria"/>
          <w:sz w:val="18"/>
          <w:szCs w:val="18"/>
        </w:rPr>
        <w:t>©2015</w:t>
      </w:r>
      <w:r w:rsidRPr="004F275A">
        <w:rPr>
          <w:rFonts w:ascii="Cambria" w:hAnsi="Cambria"/>
          <w:sz w:val="18"/>
          <w:szCs w:val="18"/>
        </w:rPr>
        <w:t xml:space="preserve"> Society of Education, India</w:t>
      </w:r>
    </w:p>
    <w:p w:rsidR="00DF7D4B" w:rsidRDefault="00DF7D4B" w:rsidP="002B5765">
      <w:pPr>
        <w:pBdr>
          <w:top w:val="single" w:sz="4" w:space="1" w:color="auto"/>
          <w:bottom w:val="single" w:sz="4" w:space="1" w:color="auto"/>
        </w:pBdr>
        <w:spacing w:after="0" w:line="240" w:lineRule="auto"/>
        <w:jc w:val="both"/>
        <w:rPr>
          <w:rFonts w:cs="B Lotus"/>
          <w:b/>
          <w:sz w:val="18"/>
          <w:szCs w:val="18"/>
          <w:lang w:bidi="fa-IR"/>
        </w:rPr>
      </w:pPr>
      <w:r w:rsidRPr="00BB617B">
        <w:rPr>
          <w:rFonts w:cs="B Lotus"/>
          <w:b/>
          <w:sz w:val="18"/>
          <w:szCs w:val="18"/>
          <w:lang w:bidi="fa-IR"/>
        </w:rPr>
        <w:t xml:space="preserve">How to cite this article: </w:t>
      </w:r>
    </w:p>
    <w:p w:rsidR="00DF7D4B" w:rsidRPr="003F61C1" w:rsidRDefault="00DF7D4B" w:rsidP="002B5765">
      <w:pPr>
        <w:pBdr>
          <w:top w:val="single" w:sz="4" w:space="1" w:color="auto"/>
          <w:bottom w:val="single" w:sz="4" w:space="1" w:color="auto"/>
        </w:pBdr>
        <w:spacing w:after="0" w:line="240" w:lineRule="auto"/>
        <w:jc w:val="both"/>
        <w:rPr>
          <w:rFonts w:cs="B Lotus"/>
          <w:b/>
          <w:sz w:val="18"/>
          <w:szCs w:val="18"/>
          <w:lang w:bidi="fa-IR"/>
        </w:rPr>
      </w:pPr>
      <w:r w:rsidRPr="003F61C1">
        <w:rPr>
          <w:rFonts w:cs="Times New Roman"/>
          <w:sz w:val="18"/>
          <w:szCs w:val="18"/>
        </w:rPr>
        <w:t>Jitendra S, Anju D, Virendra A Ravi M,</w:t>
      </w:r>
      <w:r w:rsidRPr="003F61C1">
        <w:rPr>
          <w:rFonts w:cs="Times New Roman"/>
          <w:sz w:val="18"/>
          <w:szCs w:val="18"/>
          <w:vertAlign w:val="superscript"/>
        </w:rPr>
        <w:t xml:space="preserve"> </w:t>
      </w:r>
      <w:r w:rsidRPr="003F61C1">
        <w:rPr>
          <w:rFonts w:cs="Times New Roman"/>
          <w:sz w:val="18"/>
          <w:szCs w:val="18"/>
        </w:rPr>
        <w:t>Saurabh K. An Atypical Complication of Dengue Haemorrhagic Fever: Acute Intracranial Hemorrhage</w:t>
      </w:r>
      <w:r w:rsidRPr="003F61C1">
        <w:rPr>
          <w:bCs/>
          <w:iCs/>
          <w:color w:val="000000" w:themeColor="text1"/>
          <w:sz w:val="18"/>
          <w:szCs w:val="18"/>
        </w:rPr>
        <w:t>.</w:t>
      </w:r>
      <w:r w:rsidRPr="003F61C1">
        <w:rPr>
          <w:sz w:val="18"/>
          <w:szCs w:val="18"/>
        </w:rPr>
        <w:t xml:space="preserve"> Adv. Biores. Vol 6 [4] July 2015: 14</w:t>
      </w:r>
      <w:r w:rsidR="002B5765">
        <w:rPr>
          <w:sz w:val="18"/>
          <w:szCs w:val="18"/>
        </w:rPr>
        <w:t>8</w:t>
      </w:r>
      <w:r w:rsidRPr="003F61C1">
        <w:rPr>
          <w:sz w:val="18"/>
          <w:szCs w:val="18"/>
        </w:rPr>
        <w:t>-1</w:t>
      </w:r>
      <w:r w:rsidR="002B5765">
        <w:rPr>
          <w:sz w:val="18"/>
          <w:szCs w:val="18"/>
        </w:rPr>
        <w:t>51</w:t>
      </w:r>
      <w:r w:rsidRPr="003F61C1">
        <w:rPr>
          <w:rFonts w:cs="B Lotus"/>
          <w:b/>
          <w:sz w:val="18"/>
          <w:szCs w:val="18"/>
          <w:lang w:bidi="fa-IR"/>
        </w:rPr>
        <w:t xml:space="preserve">. </w:t>
      </w:r>
      <w:r w:rsidRPr="003F61C1">
        <w:rPr>
          <w:rFonts w:cs="B Lotus"/>
          <w:sz w:val="18"/>
          <w:szCs w:val="18"/>
          <w:lang w:bidi="fa-IR"/>
        </w:rPr>
        <w:t xml:space="preserve">DOI: </w:t>
      </w:r>
      <w:r w:rsidRPr="003F61C1">
        <w:rPr>
          <w:rFonts w:cs="Arial"/>
          <w:color w:val="222222"/>
          <w:sz w:val="18"/>
          <w:szCs w:val="18"/>
          <w:shd w:val="clear" w:color="auto" w:fill="FFFFFF"/>
        </w:rPr>
        <w:t>10.15515</w:t>
      </w:r>
      <w:r w:rsidRPr="003F61C1">
        <w:rPr>
          <w:rFonts w:cs="B Lotus"/>
          <w:sz w:val="18"/>
          <w:szCs w:val="18"/>
          <w:lang w:bidi="fa-IR"/>
        </w:rPr>
        <w:t>/abr.0976-4585.6.4.14</w:t>
      </w:r>
      <w:r w:rsidR="002B5765">
        <w:rPr>
          <w:rFonts w:cs="B Lotus"/>
          <w:sz w:val="18"/>
          <w:szCs w:val="18"/>
          <w:lang w:bidi="fa-IR"/>
        </w:rPr>
        <w:t>8</w:t>
      </w:r>
      <w:r w:rsidRPr="003F61C1">
        <w:rPr>
          <w:rFonts w:cs="B Lotus"/>
          <w:sz w:val="18"/>
          <w:szCs w:val="18"/>
          <w:lang w:bidi="fa-IR"/>
        </w:rPr>
        <w:t>1</w:t>
      </w:r>
      <w:r w:rsidR="002B5765">
        <w:rPr>
          <w:rFonts w:cs="B Lotus"/>
          <w:sz w:val="18"/>
          <w:szCs w:val="18"/>
          <w:lang w:bidi="fa-IR"/>
        </w:rPr>
        <w:t>51</w:t>
      </w:r>
    </w:p>
    <w:p w:rsidR="00DF7D4B" w:rsidRPr="003F61C1" w:rsidRDefault="00DF7D4B" w:rsidP="002B5765">
      <w:pPr>
        <w:spacing w:after="0" w:line="240" w:lineRule="auto"/>
        <w:jc w:val="both"/>
        <w:rPr>
          <w:color w:val="000000"/>
          <w:sz w:val="18"/>
          <w:szCs w:val="18"/>
        </w:rPr>
      </w:pPr>
    </w:p>
    <w:p w:rsidR="00DF7D4B" w:rsidRPr="002D0D69" w:rsidRDefault="00DF7D4B" w:rsidP="002B5765">
      <w:pPr>
        <w:spacing w:after="0" w:line="240" w:lineRule="auto"/>
        <w:jc w:val="both"/>
        <w:rPr>
          <w:rFonts w:cs="Times New Roman"/>
          <w:b/>
          <w:bCs/>
          <w:sz w:val="20"/>
          <w:szCs w:val="20"/>
        </w:rPr>
      </w:pPr>
      <w:r w:rsidRPr="002D0D69">
        <w:rPr>
          <w:rFonts w:cs="Times New Roman"/>
          <w:b/>
          <w:bCs/>
          <w:sz w:val="20"/>
          <w:szCs w:val="20"/>
        </w:rPr>
        <w:t>INTRODUCTION</w:t>
      </w:r>
      <w:bookmarkStart w:id="2" w:name="9125024"/>
      <w:bookmarkEnd w:id="2"/>
      <w:r w:rsidRPr="002D0D69">
        <w:rPr>
          <w:rFonts w:cs="Times New Roman"/>
          <w:b/>
          <w:bCs/>
          <w:sz w:val="20"/>
          <w:szCs w:val="20"/>
        </w:rPr>
        <w:t xml:space="preserve"> </w:t>
      </w:r>
    </w:p>
    <w:p w:rsidR="00DF7D4B" w:rsidRPr="002D0D69" w:rsidRDefault="00DF7D4B" w:rsidP="002B5765">
      <w:pPr>
        <w:pStyle w:val="contentbody"/>
        <w:spacing w:before="0" w:beforeAutospacing="0" w:after="0" w:afterAutospacing="0"/>
        <w:jc w:val="both"/>
        <w:rPr>
          <w:rFonts w:asciiTheme="majorHAnsi" w:hAnsiTheme="majorHAnsi"/>
          <w:sz w:val="20"/>
          <w:szCs w:val="20"/>
        </w:rPr>
      </w:pPr>
      <w:r w:rsidRPr="002D0D69">
        <w:rPr>
          <w:rFonts w:asciiTheme="majorHAnsi" w:hAnsiTheme="majorHAnsi"/>
          <w:sz w:val="20"/>
          <w:szCs w:val="20"/>
        </w:rPr>
        <w:t>In India, cases of dengue fever start to increase from August onwards and decrease as winter sets in. All four distinct dengue viruses (dengue 1-4) have similar clinical syndrome.  The typical presentation includes fever with macular rashes, headache, retro orbital pain along with the sever myalgia that gave rise to colloquial designation “break-bone fever”. In rare cases second infection with different serotype from primary infection leads to dengue DH with severe shock [1].</w:t>
      </w:r>
      <w:r w:rsidRPr="002D0D69">
        <w:rPr>
          <w:rFonts w:asciiTheme="majorHAnsi" w:hAnsiTheme="majorHAnsi"/>
          <w:sz w:val="20"/>
          <w:szCs w:val="20"/>
          <w:vertAlign w:val="superscript"/>
        </w:rPr>
        <w:t xml:space="preserve"> </w:t>
      </w:r>
      <w:r w:rsidRPr="002D0D69">
        <w:rPr>
          <w:rFonts w:asciiTheme="majorHAnsi" w:hAnsiTheme="majorHAnsi"/>
          <w:sz w:val="20"/>
          <w:szCs w:val="20"/>
        </w:rPr>
        <w:t>Intracerebral hemorrhage in our case is an unusual presentation of central nervous system involvement in dengue fever and only few cases are reported in literature [2].</w:t>
      </w:r>
    </w:p>
    <w:p w:rsidR="00DF7D4B" w:rsidRDefault="00DF7D4B" w:rsidP="002B5765">
      <w:pPr>
        <w:pStyle w:val="contentbody"/>
        <w:spacing w:before="0" w:beforeAutospacing="0" w:after="0" w:afterAutospacing="0"/>
        <w:jc w:val="both"/>
        <w:rPr>
          <w:rFonts w:asciiTheme="majorHAnsi" w:eastAsiaTheme="minorHAnsi" w:hAnsiTheme="majorHAnsi"/>
          <w:b/>
          <w:sz w:val="20"/>
          <w:szCs w:val="20"/>
          <w:lang w:eastAsia="en-US"/>
        </w:rPr>
      </w:pPr>
    </w:p>
    <w:p w:rsidR="00DF7D4B" w:rsidRPr="002D0D69" w:rsidRDefault="00DF7D4B" w:rsidP="002B5765">
      <w:pPr>
        <w:pStyle w:val="contentbody"/>
        <w:spacing w:before="0" w:beforeAutospacing="0" w:after="0" w:afterAutospacing="0"/>
        <w:jc w:val="both"/>
        <w:rPr>
          <w:rFonts w:asciiTheme="majorHAnsi" w:eastAsiaTheme="minorHAnsi" w:hAnsiTheme="majorHAnsi"/>
          <w:b/>
          <w:sz w:val="20"/>
          <w:szCs w:val="20"/>
          <w:lang w:eastAsia="en-US"/>
        </w:rPr>
      </w:pPr>
      <w:r w:rsidRPr="002D0D69">
        <w:rPr>
          <w:rFonts w:asciiTheme="majorHAnsi" w:eastAsiaTheme="minorHAnsi" w:hAnsiTheme="majorHAnsi"/>
          <w:b/>
          <w:sz w:val="20"/>
          <w:szCs w:val="20"/>
          <w:lang w:eastAsia="en-US"/>
        </w:rPr>
        <w:t>CASE REPORT</w:t>
      </w:r>
    </w:p>
    <w:p w:rsidR="00DF7D4B" w:rsidRPr="002D0D69" w:rsidRDefault="00DF7D4B" w:rsidP="002B5765">
      <w:pPr>
        <w:pStyle w:val="contentbody"/>
        <w:spacing w:before="0" w:beforeAutospacing="0" w:after="0" w:afterAutospacing="0"/>
        <w:jc w:val="both"/>
        <w:rPr>
          <w:rFonts w:asciiTheme="majorHAnsi" w:eastAsiaTheme="minorHAnsi" w:hAnsiTheme="majorHAnsi"/>
          <w:b/>
          <w:sz w:val="20"/>
          <w:szCs w:val="20"/>
          <w:lang w:eastAsia="en-US"/>
        </w:rPr>
      </w:pPr>
      <w:r w:rsidRPr="002D0D69">
        <w:rPr>
          <w:rFonts w:asciiTheme="majorHAnsi" w:hAnsiTheme="majorHAnsi"/>
          <w:sz w:val="20"/>
          <w:szCs w:val="20"/>
        </w:rPr>
        <w:t xml:space="preserve">A 62-year-old male, non alcoholic labourer was referred to emergency department of our institution with chief complaints of fever with rashes for 8 days, left sided body weakness and altered sensorium for 2 days. On enquiry his relatives told that initially patient was admitted in a private hospital for the complaints of fever with rashes all over the body predominantly over limbs.  Even though condition of patient was deteriorating and platelets counts was decreasing continuously. Patient was then referred to tertiary care hospital (KGMU). On the day of admission patient was in unconscious state with a Glasgow coma score (GCS) of 8 (E2M4V2). The patient had no signs of meningeal irritation and his cranial nerves examinations could not be done. On general examination patient had no pallor or icterus. He was febrile (101°F). His pulse rate- 100/ min normovolumic and regular, B.P- 110/80 mmHg and respiratory rate was-20/min. The tourniquet test was positive. He had no history of  hypertension, diabetes mellitus, cardiovascular disease, atherosclerosis, trauma, seizure, drug abuses, coagulopathy, alcoholism, or any similar episodes of altered sensorium in past. Cardiovascular, respiratory and abdominal examinations did not reveal any abnormality. During hospitalisation and previous available laboratory investigations of patient are summarised in table [1]. </w:t>
      </w:r>
      <w:r w:rsidRPr="002D0D69">
        <w:rPr>
          <w:rFonts w:asciiTheme="majorHAnsi" w:hAnsiTheme="majorHAnsi"/>
          <w:color w:val="000000" w:themeColor="text1"/>
          <w:sz w:val="20"/>
          <w:szCs w:val="20"/>
        </w:rPr>
        <w:t xml:space="preserve">Enzyme-linked immunosorbent assay for human immunodeficiency </w:t>
      </w:r>
      <w:r w:rsidRPr="002D0D69">
        <w:rPr>
          <w:rFonts w:asciiTheme="majorHAnsi" w:hAnsiTheme="majorHAnsi"/>
          <w:color w:val="000000" w:themeColor="text1"/>
          <w:sz w:val="20"/>
          <w:szCs w:val="20"/>
        </w:rPr>
        <w:lastRenderedPageBreak/>
        <w:t>virus, Australia antigen for Hepatitis B and antibody against Hepatitis C virus were negative.</w:t>
      </w:r>
      <w:r w:rsidRPr="002D0D69">
        <w:rPr>
          <w:rFonts w:asciiTheme="majorHAnsi" w:hAnsiTheme="majorHAnsi"/>
          <w:sz w:val="20"/>
          <w:szCs w:val="20"/>
        </w:rPr>
        <w:t xml:space="preserve">  Serology of enteric fever and smear </w:t>
      </w:r>
      <w:r w:rsidRPr="002D0D69">
        <w:rPr>
          <w:rFonts w:asciiTheme="majorHAnsi" w:hAnsiTheme="majorHAnsi"/>
          <w:color w:val="000000" w:themeColor="text1"/>
          <w:sz w:val="20"/>
          <w:szCs w:val="20"/>
        </w:rPr>
        <w:t>examination for malaria parasite were negative. Urine routine and microscopy was also normal. Serology (IgM antibody) for dengue infection was positive. Electrocardiography and chest X-ray were within normal limit. Plain Computed Tomography scan of head showed right sided intracerebral bleed. (Figure; 1A, B and C) Patient was managed conservatively with twelve units’ transfusion of platelets during hospitalisation. The patient showed gradual improvement. Due to financial constraints of patient, he was discharged on request. At the time of discharge he was fully conscious and oriented with power 3/5 in left upper and 3/5 in left lower limb. Limbs physiotherapy</w:t>
      </w:r>
      <w:r w:rsidRPr="002D0D69">
        <w:rPr>
          <w:rFonts w:asciiTheme="majorHAnsi" w:hAnsiTheme="majorHAnsi"/>
          <w:sz w:val="20"/>
          <w:szCs w:val="20"/>
        </w:rPr>
        <w:t xml:space="preserve"> with general supportive care was advised. After three months of follow up outpatient door, he recovered almost fully.</w:t>
      </w:r>
    </w:p>
    <w:p w:rsidR="00DF7D4B" w:rsidRDefault="00CD1AFA" w:rsidP="002B5765">
      <w:pPr>
        <w:autoSpaceDE w:val="0"/>
        <w:adjustRightInd w:val="0"/>
        <w:spacing w:after="0" w:line="240" w:lineRule="auto"/>
        <w:jc w:val="both"/>
        <w:rPr>
          <w:rFonts w:cs="Times New Roman"/>
          <w:b/>
          <w:bCs/>
          <w:sz w:val="20"/>
          <w:szCs w:val="20"/>
        </w:rPr>
      </w:pPr>
      <w:r w:rsidRPr="00CD1AFA">
        <w:rPr>
          <w:noProof/>
          <w:color w:val="000000" w:themeColor="text1"/>
          <w:sz w:val="20"/>
          <w:szCs w:val="20"/>
        </w:rPr>
        <w:pict>
          <v:shape id="_x0000_s1072" type="#_x0000_t202" style="position:absolute;left:0;text-align:left;margin-left:132.5pt;margin-top:-130.55pt;width:180.5pt;height:18.75pt;z-index:251671552;mso-width-percent:400;mso-width-percent:400;mso-width-relative:margin;mso-height-relative:margin" filled="f" stroked="f">
            <v:textbox>
              <w:txbxContent>
                <w:p w:rsidR="002B5765" w:rsidRPr="00D913C5" w:rsidRDefault="002B5765" w:rsidP="002B5765">
                  <w:pPr>
                    <w:jc w:val="center"/>
                    <w:rPr>
                      <w:sz w:val="16"/>
                      <w:szCs w:val="16"/>
                    </w:rPr>
                  </w:pPr>
                  <w:r>
                    <w:rPr>
                      <w:rFonts w:ascii="Cambria" w:hAnsi="Cambria"/>
                      <w:b/>
                      <w:bCs/>
                      <w:iCs/>
                      <w:color w:val="000000" w:themeColor="text1"/>
                      <w:sz w:val="16"/>
                      <w:szCs w:val="16"/>
                    </w:rPr>
                    <w:t xml:space="preserve">Singh </w:t>
                  </w:r>
                  <w:r w:rsidRPr="002B5765">
                    <w:rPr>
                      <w:rFonts w:ascii="Cambria" w:hAnsi="Cambria"/>
                      <w:b/>
                      <w:bCs/>
                      <w:i/>
                      <w:iCs/>
                      <w:color w:val="000000" w:themeColor="text1"/>
                      <w:sz w:val="16"/>
                      <w:szCs w:val="16"/>
                    </w:rPr>
                    <w:t>et al</w:t>
                  </w:r>
                </w:p>
              </w:txbxContent>
            </v:textbox>
          </v:shape>
        </w:pict>
      </w:r>
    </w:p>
    <w:p w:rsidR="00DF7D4B" w:rsidRPr="002D0D69" w:rsidRDefault="00DF7D4B" w:rsidP="002B5765">
      <w:pPr>
        <w:autoSpaceDE w:val="0"/>
        <w:adjustRightInd w:val="0"/>
        <w:spacing w:after="0" w:line="240" w:lineRule="auto"/>
        <w:jc w:val="both"/>
        <w:rPr>
          <w:rFonts w:cs="Times New Roman"/>
          <w:b/>
          <w:bCs/>
          <w:sz w:val="20"/>
          <w:szCs w:val="20"/>
        </w:rPr>
      </w:pPr>
      <w:r w:rsidRPr="002D0D69">
        <w:rPr>
          <w:rFonts w:cs="Times New Roman"/>
          <w:b/>
          <w:bCs/>
          <w:sz w:val="20"/>
          <w:szCs w:val="20"/>
        </w:rPr>
        <w:t>DISCUSSION</w:t>
      </w:r>
    </w:p>
    <w:p w:rsidR="00DF7D4B" w:rsidRPr="002D0D69" w:rsidRDefault="00DF7D4B" w:rsidP="002B5765">
      <w:pPr>
        <w:tabs>
          <w:tab w:val="center" w:pos="4513"/>
        </w:tabs>
        <w:autoSpaceDE w:val="0"/>
        <w:adjustRightInd w:val="0"/>
        <w:spacing w:after="0" w:line="240" w:lineRule="auto"/>
        <w:jc w:val="both"/>
        <w:rPr>
          <w:rFonts w:cs="Times New Roman"/>
          <w:sz w:val="20"/>
          <w:szCs w:val="20"/>
        </w:rPr>
      </w:pPr>
      <w:r w:rsidRPr="002D0D69">
        <w:rPr>
          <w:rFonts w:cs="Times New Roman"/>
          <w:sz w:val="20"/>
          <w:szCs w:val="20"/>
        </w:rPr>
        <w:t xml:space="preserve">Several clinical settings have described the association of neurological manifestations with dengue fever. The relationship between DHF and atypical neurological disturbances was first described in 1976 [3]. </w:t>
      </w:r>
      <w:r w:rsidRPr="002D0D69">
        <w:rPr>
          <w:rFonts w:cs="Times New Roman"/>
          <w:sz w:val="20"/>
          <w:szCs w:val="20"/>
          <w:vertAlign w:val="superscript"/>
        </w:rPr>
        <w:t xml:space="preserve"> </w:t>
      </w:r>
      <w:r w:rsidRPr="002D0D69">
        <w:rPr>
          <w:rFonts w:cs="Times New Roman"/>
          <w:sz w:val="20"/>
          <w:szCs w:val="20"/>
        </w:rPr>
        <w:t>The true incidences of dengue associated neurological complications are not clearly mentioned because of only hospital based cases are reported in most of literature.</w:t>
      </w:r>
    </w:p>
    <w:p w:rsidR="00DF7D4B" w:rsidRPr="002D0D69" w:rsidRDefault="00DF7D4B" w:rsidP="002B5765">
      <w:pPr>
        <w:autoSpaceDE w:val="0"/>
        <w:adjustRightInd w:val="0"/>
        <w:spacing w:after="0" w:line="240" w:lineRule="auto"/>
        <w:jc w:val="both"/>
        <w:rPr>
          <w:rFonts w:cs="Times New Roman"/>
          <w:b/>
          <w:bCs/>
          <w:sz w:val="20"/>
          <w:szCs w:val="20"/>
        </w:rPr>
      </w:pPr>
      <w:r w:rsidRPr="002D0D69">
        <w:rPr>
          <w:rFonts w:cs="Times New Roman"/>
          <w:sz w:val="20"/>
          <w:szCs w:val="20"/>
        </w:rPr>
        <w:t xml:space="preserve">On the basis of last few years’ studies, neurological complications occur in 0.5–6% of the cases with dengue fever [4]. </w:t>
      </w:r>
      <w:r w:rsidRPr="002D0D69">
        <w:rPr>
          <w:rFonts w:cs="Times New Roman"/>
          <w:sz w:val="20"/>
          <w:szCs w:val="20"/>
          <w:vertAlign w:val="superscript"/>
        </w:rPr>
        <w:t xml:space="preserve"> </w:t>
      </w:r>
      <w:r w:rsidRPr="002D0D69">
        <w:rPr>
          <w:rFonts w:cs="Times New Roman"/>
          <w:sz w:val="20"/>
          <w:szCs w:val="20"/>
        </w:rPr>
        <w:t xml:space="preserve">Various neurological manifestations reported in dengue fever are summarised into three categories: (I) manifestations due to neurotrophic effect of virus: rhabdomyolysis, myositis, myelitis, meningitis and acute encephalitis; (II) systemic manifestations of denhue fever: hypokalemic paralysis, papilledema, encephalopathy and stroke (hemorrhagic and ischemic) and (III) post-infection manifestations: fatigue syndrome, acute disseminated encephalitis (ADEM), encephalomyelitis, myelitis, neuromyeltis optica, optic  neuritis, Guillain-Barre syndrome, phrenic neuropathy, long thoracic neuropathy, oculomotor palsy and maculopathy [5]. The exact pathogenesis of neurological </w:t>
      </w:r>
      <w:r w:rsidRPr="002D0D69">
        <w:rPr>
          <w:rFonts w:cs="Times New Roman"/>
          <w:color w:val="000000"/>
          <w:sz w:val="20"/>
          <w:szCs w:val="20"/>
        </w:rPr>
        <w:t>hemorrhagic complications is not well known. Impairment of platelet function can also increases the risk of vascular fragility which may lead to hemorrhage.  However possible mechanism of bleeding diathesis in dengue infection may be due to vasculopathy,</w:t>
      </w:r>
      <w:r w:rsidRPr="002D0D69">
        <w:rPr>
          <w:rFonts w:cs="Times New Roman"/>
          <w:sz w:val="20"/>
          <w:szCs w:val="20"/>
        </w:rPr>
        <w:t xml:space="preserve"> thrombocytopenia and platelet dysfunction [6]. Low platelets count in dengue fever is due to both from decreased production and increased destruction which correlates with the clinical severity of DHF [7].</w:t>
      </w:r>
      <w:r w:rsidRPr="002D0D69">
        <w:rPr>
          <w:rFonts w:cs="Times New Roman"/>
          <w:sz w:val="20"/>
          <w:szCs w:val="20"/>
          <w:vertAlign w:val="superscript"/>
        </w:rPr>
        <w:t xml:space="preserve"> </w:t>
      </w:r>
      <w:r w:rsidRPr="002D0D69">
        <w:rPr>
          <w:rFonts w:cs="Times New Roman"/>
          <w:sz w:val="20"/>
          <w:szCs w:val="20"/>
        </w:rPr>
        <w:t xml:space="preserve">Since the patient was native of endemic </w:t>
      </w:r>
      <w:r w:rsidRPr="002D0D69">
        <w:rPr>
          <w:rFonts w:cs="Times New Roman"/>
          <w:color w:val="000000"/>
          <w:sz w:val="20"/>
          <w:szCs w:val="20"/>
        </w:rPr>
        <w:t>area, and his clinical features with lab investigations (low platelets count and intracranial hemorrhage) suggested a clinical picture of dengue fever. Apart from more common cause of intracranial hemorrhages, we also</w:t>
      </w:r>
      <w:r w:rsidRPr="002D0D69">
        <w:rPr>
          <w:rFonts w:cs="Times New Roman"/>
          <w:sz w:val="20"/>
          <w:szCs w:val="20"/>
        </w:rPr>
        <w:t xml:space="preserve"> ruled out amyloid angiopathy, neoplasm and vascular malformation. Then final diagnosis of intracranial hemorrhage due to dengue fever was made when IgM antibodies against dengue virus was positive. </w:t>
      </w:r>
    </w:p>
    <w:p w:rsidR="00DF7D4B" w:rsidRDefault="00DF7D4B" w:rsidP="002B5765">
      <w:pPr>
        <w:tabs>
          <w:tab w:val="left" w:pos="8400"/>
        </w:tabs>
        <w:spacing w:after="0" w:line="240" w:lineRule="auto"/>
        <w:jc w:val="both"/>
        <w:rPr>
          <w:rFonts w:cs="Times New Roman"/>
          <w:b/>
          <w:bCs/>
          <w:sz w:val="20"/>
          <w:szCs w:val="20"/>
        </w:rPr>
      </w:pPr>
    </w:p>
    <w:p w:rsidR="00DF7D4B" w:rsidRPr="002D0D69" w:rsidRDefault="00DF7D4B" w:rsidP="006D0A73">
      <w:pPr>
        <w:tabs>
          <w:tab w:val="left" w:pos="2595"/>
        </w:tabs>
        <w:autoSpaceDE w:val="0"/>
        <w:adjustRightInd w:val="0"/>
        <w:spacing w:after="0" w:line="240" w:lineRule="auto"/>
        <w:jc w:val="both"/>
        <w:rPr>
          <w:rFonts w:cs="Times New Roman"/>
          <w:sz w:val="20"/>
          <w:szCs w:val="20"/>
        </w:rPr>
      </w:pPr>
      <w:r w:rsidRPr="002D0D69">
        <w:rPr>
          <w:rFonts w:cs="Times New Roman"/>
          <w:b/>
          <w:bCs/>
          <w:sz w:val="20"/>
          <w:szCs w:val="20"/>
        </w:rPr>
        <w:tab/>
      </w:r>
      <w:r w:rsidRPr="002D0D69">
        <w:rPr>
          <w:rFonts w:cs="Times New Roman"/>
          <w:sz w:val="20"/>
          <w:szCs w:val="20"/>
        </w:rPr>
        <w:t>Table1; Patient’s laboratory parameters during hospitalization</w:t>
      </w:r>
    </w:p>
    <w:tbl>
      <w:tblPr>
        <w:tblStyle w:val="TableGrid"/>
        <w:tblW w:w="9198" w:type="dxa"/>
        <w:tblLook w:val="04A0"/>
      </w:tblPr>
      <w:tblGrid>
        <w:gridCol w:w="1797"/>
        <w:gridCol w:w="1016"/>
        <w:gridCol w:w="997"/>
        <w:gridCol w:w="888"/>
        <w:gridCol w:w="900"/>
        <w:gridCol w:w="900"/>
        <w:gridCol w:w="900"/>
        <w:gridCol w:w="900"/>
        <w:gridCol w:w="900"/>
      </w:tblGrid>
      <w:tr w:rsidR="00DF7D4B" w:rsidRPr="002D0D69" w:rsidTr="006D0A73">
        <w:tc>
          <w:tcPr>
            <w:tcW w:w="1797" w:type="dxa"/>
            <w:vMerge w:val="restart"/>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Laboratory parameters with date</w:t>
            </w:r>
          </w:p>
        </w:tc>
        <w:tc>
          <w:tcPr>
            <w:tcW w:w="2901" w:type="dxa"/>
            <w:gridSpan w:val="3"/>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 xml:space="preserve">        During other hospital</w:t>
            </w:r>
          </w:p>
        </w:tc>
        <w:tc>
          <w:tcPr>
            <w:tcW w:w="4500" w:type="dxa"/>
            <w:gridSpan w:val="5"/>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 xml:space="preserve">                      During our hospital (KGMU) </w:t>
            </w:r>
          </w:p>
        </w:tc>
      </w:tr>
      <w:tr w:rsidR="00DF7D4B" w:rsidRPr="002D0D69" w:rsidTr="006D0A73">
        <w:tc>
          <w:tcPr>
            <w:tcW w:w="0" w:type="auto"/>
            <w:vMerge/>
            <w:tcBorders>
              <w:top w:val="single" w:sz="4" w:space="0" w:color="auto"/>
              <w:left w:val="single" w:sz="4" w:space="0" w:color="auto"/>
              <w:bottom w:val="single" w:sz="4" w:space="0" w:color="auto"/>
              <w:right w:val="single" w:sz="4" w:space="0" w:color="auto"/>
            </w:tcBorders>
            <w:vAlign w:val="center"/>
            <w:hideMark/>
          </w:tcPr>
          <w:p w:rsidR="00DF7D4B" w:rsidRPr="002D0D69" w:rsidRDefault="00DF7D4B" w:rsidP="002B5765">
            <w:pPr>
              <w:jc w:val="both"/>
              <w:rPr>
                <w:rFonts w:cs="Times New Roman"/>
                <w:bCs/>
                <w:sz w:val="18"/>
                <w:szCs w:val="18"/>
              </w:rPr>
            </w:pP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22.10.12</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23.10.12</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24.10.12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26.10.12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28.10.12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29.10.12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30.10.12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01.11.12</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sz w:val="18"/>
                <w:szCs w:val="18"/>
              </w:rPr>
            </w:pPr>
            <w:r w:rsidRPr="002D0D69">
              <w:rPr>
                <w:rFonts w:cs="Times New Roman"/>
                <w:sz w:val="18"/>
                <w:szCs w:val="18"/>
              </w:rPr>
              <w:t>Hb(g/dl)</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13.5</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10.4</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10.8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10.4</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11.0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10.8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11.5</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13.0</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TLC  (103/µL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9.77</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6.89</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8.0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9.1</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8.8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8.2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8.0</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DLC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N80L09</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N70L24</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N67L22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N71L15</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N70L14</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N72L14</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N79L16</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N68L15</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PC (103/µL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8.0</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6.0</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66.0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50.0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90.0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120.0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155</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HCT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40.1</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31.3</w:t>
            </w: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32.3</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31.1</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32.5</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31.8</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32</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S.Na+(mmol/L)</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134</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142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138</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136</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140</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Pr>
                <w:rFonts w:cs="Times New Roman"/>
                <w:bCs/>
                <w:sz w:val="18"/>
                <w:szCs w:val="18"/>
              </w:rPr>
              <w:t>S.K</w:t>
            </w:r>
            <w:r w:rsidRPr="002D0D69">
              <w:rPr>
                <w:rFonts w:cs="Times New Roman"/>
                <w:bCs/>
                <w:sz w:val="18"/>
                <w:szCs w:val="18"/>
              </w:rPr>
              <w:t>+(mmol/L)</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3.5</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3.4</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4.2</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4.3</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S.Urea(mgdl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49.4</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35.1</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38.4</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36</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S.Creat (mgdl )</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0.95</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0.90</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0.9</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RBS(mg/dl)</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112</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100</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92</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98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110</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118</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112</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sz w:val="18"/>
                <w:szCs w:val="18"/>
              </w:rPr>
              <w:t xml:space="preserve">PTT </w:t>
            </w:r>
            <w:r w:rsidRPr="002D0D69">
              <w:rPr>
                <w:rFonts w:cs="Times New Roman"/>
                <w:bCs/>
                <w:sz w:val="18"/>
                <w:szCs w:val="18"/>
              </w:rPr>
              <w:t>(seconds)</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 xml:space="preserve"> 25</w:t>
            </w: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26</w:t>
            </w: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PT(in seconds, control 12.1 s)</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14.9</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14.8</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13.2</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12.2</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INR (seconds)</w:t>
            </w:r>
          </w:p>
        </w:tc>
        <w:tc>
          <w:tcPr>
            <w:tcW w:w="1016"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bCs/>
                <w:sz w:val="18"/>
                <w:szCs w:val="18"/>
              </w:rPr>
            </w:pPr>
            <w:r w:rsidRPr="002D0D69">
              <w:rPr>
                <w:rFonts w:cs="Times New Roman"/>
                <w:bCs/>
                <w:sz w:val="18"/>
                <w:szCs w:val="18"/>
              </w:rPr>
              <w:t>1.31</w:t>
            </w:r>
          </w:p>
        </w:tc>
        <w:tc>
          <w:tcPr>
            <w:tcW w:w="997"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1.24</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1.2</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ALT (IU/L)</w:t>
            </w:r>
          </w:p>
        </w:tc>
        <w:tc>
          <w:tcPr>
            <w:tcW w:w="1016"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92.0</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40</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46</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AST (IU/L)</w:t>
            </w:r>
          </w:p>
        </w:tc>
        <w:tc>
          <w:tcPr>
            <w:tcW w:w="1016"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73.0</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42</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40</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S.ALP</w:t>
            </w:r>
          </w:p>
        </w:tc>
        <w:tc>
          <w:tcPr>
            <w:tcW w:w="1016"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70.0</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70</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80</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w:t>
            </w:r>
            <w:r>
              <w:rPr>
                <w:rFonts w:cs="Times New Roman"/>
                <w:bCs/>
                <w:sz w:val="18"/>
                <w:szCs w:val="18"/>
              </w:rPr>
              <w:t xml:space="preserve"> </w:t>
            </w:r>
            <w:r w:rsidRPr="002D0D69">
              <w:rPr>
                <w:rFonts w:cs="Times New Roman"/>
                <w:bCs/>
                <w:sz w:val="18"/>
                <w:szCs w:val="18"/>
              </w:rPr>
              <w:t>Protein(g/dl)</w:t>
            </w:r>
          </w:p>
        </w:tc>
        <w:tc>
          <w:tcPr>
            <w:tcW w:w="1016"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7.2</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7.0</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6.4</w:t>
            </w:r>
          </w:p>
        </w:tc>
      </w:tr>
      <w:tr w:rsidR="00DF7D4B" w:rsidRPr="002D0D69" w:rsidTr="006D0A73">
        <w:tc>
          <w:tcPr>
            <w:tcW w:w="17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center"/>
              <w:rPr>
                <w:rFonts w:cs="Times New Roman"/>
                <w:bCs/>
                <w:sz w:val="18"/>
                <w:szCs w:val="18"/>
              </w:rPr>
            </w:pPr>
            <w:r w:rsidRPr="002D0D69">
              <w:rPr>
                <w:rFonts w:cs="Times New Roman"/>
                <w:bCs/>
                <w:sz w:val="18"/>
                <w:szCs w:val="18"/>
              </w:rPr>
              <w:t>S.</w:t>
            </w:r>
            <w:r>
              <w:rPr>
                <w:rFonts w:cs="Times New Roman"/>
                <w:bCs/>
                <w:sz w:val="18"/>
                <w:szCs w:val="18"/>
              </w:rPr>
              <w:t xml:space="preserve"> </w:t>
            </w:r>
            <w:r w:rsidRPr="002D0D69">
              <w:rPr>
                <w:rFonts w:cs="Times New Roman"/>
                <w:bCs/>
                <w:sz w:val="18"/>
                <w:szCs w:val="18"/>
              </w:rPr>
              <w:t>Albumin(g/dl)</w:t>
            </w:r>
          </w:p>
        </w:tc>
        <w:tc>
          <w:tcPr>
            <w:tcW w:w="1016"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bCs/>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3.5</w:t>
            </w:r>
          </w:p>
        </w:tc>
        <w:tc>
          <w:tcPr>
            <w:tcW w:w="888"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3.5</w:t>
            </w: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DF7D4B" w:rsidRPr="002D0D69" w:rsidRDefault="00DF7D4B" w:rsidP="002B5765">
            <w:pPr>
              <w:jc w:val="both"/>
              <w:rPr>
                <w:rFonts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F7D4B" w:rsidRPr="002D0D69" w:rsidRDefault="00DF7D4B" w:rsidP="002B5765">
            <w:pPr>
              <w:jc w:val="both"/>
              <w:rPr>
                <w:rFonts w:cs="Times New Roman"/>
                <w:sz w:val="18"/>
                <w:szCs w:val="18"/>
              </w:rPr>
            </w:pPr>
            <w:r w:rsidRPr="002D0D69">
              <w:rPr>
                <w:rFonts w:cs="Times New Roman"/>
                <w:sz w:val="18"/>
                <w:szCs w:val="18"/>
              </w:rPr>
              <w:t>3.2</w:t>
            </w:r>
          </w:p>
        </w:tc>
      </w:tr>
    </w:tbl>
    <w:p w:rsidR="00DF7D4B" w:rsidRPr="002D0D69" w:rsidRDefault="00DF7D4B" w:rsidP="002B5765">
      <w:pPr>
        <w:spacing w:after="0" w:line="240" w:lineRule="auto"/>
        <w:jc w:val="both"/>
        <w:rPr>
          <w:rFonts w:cs="Times New Roman"/>
          <w:b/>
          <w:sz w:val="20"/>
          <w:szCs w:val="20"/>
        </w:rPr>
      </w:pPr>
    </w:p>
    <w:p w:rsidR="00DF7D4B" w:rsidRPr="002D0D69" w:rsidRDefault="00CD1AFA" w:rsidP="002B5765">
      <w:pPr>
        <w:tabs>
          <w:tab w:val="left" w:pos="8400"/>
        </w:tabs>
        <w:spacing w:after="0" w:line="240" w:lineRule="auto"/>
        <w:jc w:val="center"/>
        <w:rPr>
          <w:rFonts w:cs="Times New Roman"/>
          <w:b/>
          <w:bCs/>
          <w:sz w:val="20"/>
          <w:szCs w:val="20"/>
        </w:rPr>
      </w:pPr>
      <w:r>
        <w:rPr>
          <w:rFonts w:cs="Times New Roman"/>
          <w:b/>
          <w:bCs/>
          <w:noProof/>
          <w:sz w:val="20"/>
          <w:szCs w:val="20"/>
          <w:lang w:bidi="ar-SA"/>
        </w:rPr>
        <w:lastRenderedPageBreak/>
        <w:pict>
          <v:shape id="_x0000_s1073" type="#_x0000_t202" style="position:absolute;left:0;text-align:left;margin-left:131.75pt;margin-top:-27.1pt;width:180.55pt;height:18.75pt;z-index:251672576;mso-width-percent:400;mso-width-percent:400;mso-width-relative:margin;mso-height-relative:margin" filled="f" stroked="f">
            <v:textbox>
              <w:txbxContent>
                <w:p w:rsidR="002B5765" w:rsidRPr="00D913C5" w:rsidRDefault="002B5765" w:rsidP="002B5765">
                  <w:pPr>
                    <w:jc w:val="center"/>
                    <w:rPr>
                      <w:sz w:val="16"/>
                      <w:szCs w:val="16"/>
                    </w:rPr>
                  </w:pPr>
                  <w:r>
                    <w:rPr>
                      <w:rFonts w:ascii="Cambria" w:hAnsi="Cambria"/>
                      <w:b/>
                      <w:bCs/>
                      <w:iCs/>
                      <w:color w:val="000000" w:themeColor="text1"/>
                      <w:sz w:val="16"/>
                      <w:szCs w:val="16"/>
                    </w:rPr>
                    <w:t xml:space="preserve">Singh </w:t>
                  </w:r>
                  <w:r w:rsidRPr="002B5765">
                    <w:rPr>
                      <w:rFonts w:ascii="Cambria" w:hAnsi="Cambria"/>
                      <w:b/>
                      <w:bCs/>
                      <w:i/>
                      <w:iCs/>
                      <w:color w:val="000000" w:themeColor="text1"/>
                      <w:sz w:val="16"/>
                      <w:szCs w:val="16"/>
                    </w:rPr>
                    <w:t>et al</w:t>
                  </w:r>
                </w:p>
              </w:txbxContent>
            </v:textbox>
          </v:shape>
        </w:pict>
      </w:r>
      <w:r w:rsidR="00DF7D4B" w:rsidRPr="002D0D69">
        <w:rPr>
          <w:rFonts w:cs="Times New Roman"/>
          <w:b/>
          <w:bCs/>
          <w:noProof/>
          <w:sz w:val="20"/>
          <w:szCs w:val="20"/>
          <w:lang w:bidi="ar-SA"/>
        </w:rPr>
        <w:drawing>
          <wp:inline distT="0" distB="0" distL="0" distR="0">
            <wp:extent cx="2420620" cy="2967520"/>
            <wp:effectExtent l="19050" t="0" r="0" b="0"/>
            <wp:docPr id="10" name="Picture 1" descr="C:\Users\Dr. anju dinkar\Desktop\ABR dengue\neurologyIndia\ok\images\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nju dinkar\Desktop\ABR dengue\neurologyIndia\ok\images\Figure 1A.jpg"/>
                    <pic:cNvPicPr>
                      <a:picLocks noChangeAspect="1" noChangeArrowheads="1"/>
                    </pic:cNvPicPr>
                  </pic:nvPicPr>
                  <pic:blipFill>
                    <a:blip r:embed="rId8" cstate="print"/>
                    <a:srcRect/>
                    <a:stretch>
                      <a:fillRect/>
                    </a:stretch>
                  </pic:blipFill>
                  <pic:spPr bwMode="auto">
                    <a:xfrm>
                      <a:off x="0" y="0"/>
                      <a:ext cx="2422482" cy="2969803"/>
                    </a:xfrm>
                    <a:prstGeom prst="rect">
                      <a:avLst/>
                    </a:prstGeom>
                    <a:noFill/>
                    <a:ln w="9525">
                      <a:noFill/>
                      <a:miter lim="800000"/>
                      <a:headEnd/>
                      <a:tailEnd/>
                    </a:ln>
                  </pic:spPr>
                </pic:pic>
              </a:graphicData>
            </a:graphic>
          </wp:inline>
        </w:drawing>
      </w:r>
      <w:r w:rsidR="00DF7D4B" w:rsidRPr="002D0D69">
        <w:rPr>
          <w:rFonts w:cs="Times New Roman"/>
          <w:b/>
          <w:bCs/>
          <w:noProof/>
          <w:sz w:val="20"/>
          <w:szCs w:val="20"/>
          <w:lang w:bidi="ar-SA"/>
        </w:rPr>
        <w:drawing>
          <wp:inline distT="0" distB="0" distL="0" distR="0">
            <wp:extent cx="2456815" cy="2969772"/>
            <wp:effectExtent l="19050" t="0" r="635" b="0"/>
            <wp:docPr id="11" name="Picture 2" descr="C:\Users\Dr. anju dinkar\Desktop\ABR dengue\neurologyIndia\ok\images\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anju dinkar\Desktop\ABR dengue\neurologyIndia\ok\images\Figure 1B.jpg"/>
                    <pic:cNvPicPr>
                      <a:picLocks noChangeAspect="1" noChangeArrowheads="1"/>
                    </pic:cNvPicPr>
                  </pic:nvPicPr>
                  <pic:blipFill>
                    <a:blip r:embed="rId9" cstate="print"/>
                    <a:srcRect/>
                    <a:stretch>
                      <a:fillRect/>
                    </a:stretch>
                  </pic:blipFill>
                  <pic:spPr bwMode="auto">
                    <a:xfrm>
                      <a:off x="0" y="0"/>
                      <a:ext cx="2453841" cy="2966177"/>
                    </a:xfrm>
                    <a:prstGeom prst="rect">
                      <a:avLst/>
                    </a:prstGeom>
                    <a:noFill/>
                    <a:ln w="9525">
                      <a:noFill/>
                      <a:miter lim="800000"/>
                      <a:headEnd/>
                      <a:tailEnd/>
                    </a:ln>
                  </pic:spPr>
                </pic:pic>
              </a:graphicData>
            </a:graphic>
          </wp:inline>
        </w:drawing>
      </w:r>
    </w:p>
    <w:p w:rsidR="00DF7D4B" w:rsidRPr="002D0D69" w:rsidRDefault="00DF7D4B" w:rsidP="002B5765">
      <w:pPr>
        <w:tabs>
          <w:tab w:val="left" w:pos="8400"/>
        </w:tabs>
        <w:spacing w:after="0" w:line="240" w:lineRule="auto"/>
        <w:jc w:val="center"/>
        <w:rPr>
          <w:rFonts w:cs="Times New Roman"/>
          <w:b/>
          <w:bCs/>
          <w:sz w:val="20"/>
          <w:szCs w:val="20"/>
        </w:rPr>
      </w:pPr>
      <w:r w:rsidRPr="002D0D69">
        <w:rPr>
          <w:rFonts w:cs="Times New Roman"/>
          <w:b/>
          <w:bCs/>
          <w:noProof/>
          <w:sz w:val="20"/>
          <w:szCs w:val="20"/>
          <w:lang w:bidi="ar-SA"/>
        </w:rPr>
        <w:drawing>
          <wp:inline distT="0" distB="0" distL="0" distR="0">
            <wp:extent cx="2381250" cy="2924175"/>
            <wp:effectExtent l="19050" t="0" r="0" b="0"/>
            <wp:docPr id="12" name="Picture 3" descr="C:\Users\Dr. anju dinkar\Desktop\ABR dengue\neurologyIndia\ok\images\Figure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anju dinkar\Desktop\ABR dengue\neurologyIndia\ok\images\Figure 1C.jpg"/>
                    <pic:cNvPicPr>
                      <a:picLocks noChangeAspect="1" noChangeArrowheads="1"/>
                    </pic:cNvPicPr>
                  </pic:nvPicPr>
                  <pic:blipFill>
                    <a:blip r:embed="rId10" cstate="print"/>
                    <a:srcRect/>
                    <a:stretch>
                      <a:fillRect/>
                    </a:stretch>
                  </pic:blipFill>
                  <pic:spPr bwMode="auto">
                    <a:xfrm>
                      <a:off x="0" y="0"/>
                      <a:ext cx="2382488" cy="2925695"/>
                    </a:xfrm>
                    <a:prstGeom prst="rect">
                      <a:avLst/>
                    </a:prstGeom>
                    <a:noFill/>
                    <a:ln w="9525">
                      <a:noFill/>
                      <a:miter lim="800000"/>
                      <a:headEnd/>
                      <a:tailEnd/>
                    </a:ln>
                  </pic:spPr>
                </pic:pic>
              </a:graphicData>
            </a:graphic>
          </wp:inline>
        </w:drawing>
      </w:r>
    </w:p>
    <w:p w:rsidR="00DF7D4B" w:rsidRPr="002D0D69" w:rsidRDefault="00DF7D4B" w:rsidP="002B5765">
      <w:pPr>
        <w:autoSpaceDE w:val="0"/>
        <w:adjustRightInd w:val="0"/>
        <w:spacing w:after="0" w:line="240" w:lineRule="auto"/>
        <w:jc w:val="center"/>
        <w:rPr>
          <w:rFonts w:cs="Times New Roman"/>
          <w:sz w:val="20"/>
          <w:szCs w:val="20"/>
        </w:rPr>
      </w:pPr>
      <w:r w:rsidRPr="002D0D69">
        <w:rPr>
          <w:rFonts w:cs="Times New Roman"/>
          <w:sz w:val="20"/>
          <w:szCs w:val="20"/>
        </w:rPr>
        <w:t>Figure1 (A, B and C); Acute intra-axial bleed in right fronto-parieto-temporal region with mass effect and midline shift of 4 mm towards left side</w:t>
      </w:r>
    </w:p>
    <w:p w:rsidR="002B5765" w:rsidRDefault="002B5765" w:rsidP="002B5765">
      <w:pPr>
        <w:tabs>
          <w:tab w:val="left" w:pos="8400"/>
        </w:tabs>
        <w:spacing w:after="0" w:line="240" w:lineRule="auto"/>
        <w:jc w:val="both"/>
        <w:rPr>
          <w:rFonts w:cs="Times New Roman"/>
          <w:b/>
          <w:bCs/>
          <w:sz w:val="20"/>
          <w:szCs w:val="20"/>
        </w:rPr>
      </w:pPr>
    </w:p>
    <w:p w:rsidR="002B5765" w:rsidRPr="002D0D69" w:rsidRDefault="002B5765" w:rsidP="002B5765">
      <w:pPr>
        <w:tabs>
          <w:tab w:val="left" w:pos="8400"/>
        </w:tabs>
        <w:spacing w:after="0" w:line="240" w:lineRule="auto"/>
        <w:jc w:val="both"/>
        <w:rPr>
          <w:rFonts w:cs="Times New Roman"/>
          <w:b/>
          <w:bCs/>
          <w:sz w:val="20"/>
          <w:szCs w:val="20"/>
        </w:rPr>
      </w:pPr>
      <w:r w:rsidRPr="002D0D69">
        <w:rPr>
          <w:rFonts w:cs="Times New Roman"/>
          <w:b/>
          <w:bCs/>
          <w:sz w:val="20"/>
          <w:szCs w:val="20"/>
        </w:rPr>
        <w:t>CONCLUSION</w:t>
      </w:r>
    </w:p>
    <w:p w:rsidR="002B5765" w:rsidRPr="002D0D69" w:rsidRDefault="002B5765" w:rsidP="002B5765">
      <w:pPr>
        <w:tabs>
          <w:tab w:val="left" w:pos="8400"/>
        </w:tabs>
        <w:spacing w:after="0" w:line="240" w:lineRule="auto"/>
        <w:jc w:val="both"/>
        <w:rPr>
          <w:rFonts w:cs="Times New Roman"/>
          <w:sz w:val="20"/>
          <w:szCs w:val="20"/>
        </w:rPr>
      </w:pPr>
      <w:r w:rsidRPr="002D0D69">
        <w:rPr>
          <w:rFonts w:cs="Times New Roman"/>
          <w:sz w:val="20"/>
          <w:szCs w:val="20"/>
        </w:rPr>
        <w:t>With the above description it is clear that a dengue fever can causes a variety of neurological manifestations in endemic countries. Our case report highlights the potential danger of dengue fever, so treating physician must be aware of the development of atypical neurological manifestations. Early diagnosis and management with prompt supportive care can reduce the morbidity and mortality of the patients by preventing neurological disabilities.</w:t>
      </w:r>
    </w:p>
    <w:p w:rsidR="002B5765" w:rsidRDefault="002B5765" w:rsidP="002B5765">
      <w:pPr>
        <w:tabs>
          <w:tab w:val="left" w:pos="8400"/>
        </w:tabs>
        <w:spacing w:after="0" w:line="240" w:lineRule="auto"/>
        <w:jc w:val="both"/>
        <w:rPr>
          <w:rFonts w:cs="Times New Roman"/>
          <w:b/>
          <w:bCs/>
          <w:sz w:val="20"/>
          <w:szCs w:val="20"/>
        </w:rPr>
      </w:pPr>
    </w:p>
    <w:p w:rsidR="00DF7D4B" w:rsidRPr="002D0D69" w:rsidRDefault="00DF7D4B" w:rsidP="002B5765">
      <w:pPr>
        <w:tabs>
          <w:tab w:val="left" w:pos="8400"/>
        </w:tabs>
        <w:spacing w:after="0" w:line="240" w:lineRule="auto"/>
        <w:jc w:val="both"/>
        <w:rPr>
          <w:rFonts w:cs="Times New Roman"/>
          <w:b/>
          <w:bCs/>
          <w:sz w:val="20"/>
          <w:szCs w:val="20"/>
        </w:rPr>
      </w:pPr>
      <w:r w:rsidRPr="002D0D69">
        <w:rPr>
          <w:rFonts w:cs="Times New Roman"/>
          <w:b/>
          <w:bCs/>
          <w:sz w:val="20"/>
          <w:szCs w:val="20"/>
        </w:rPr>
        <w:t>REFERENCES</w:t>
      </w:r>
    </w:p>
    <w:p w:rsidR="00DF7D4B" w:rsidRPr="009F6054" w:rsidRDefault="00DF7D4B"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sidRPr="009F6054">
        <w:rPr>
          <w:rFonts w:cs="Times New Roman"/>
          <w:color w:val="000000" w:themeColor="text1"/>
          <w:sz w:val="18"/>
          <w:szCs w:val="18"/>
        </w:rPr>
        <w:t xml:space="preserve">Peters CJ. (2012). Infection caused by arthropod- and rodent- borne viruses. In: Longo DL, Fauci AS, Kasper DL, Hauser SL, Jameson JL, </w:t>
      </w:r>
      <w:r w:rsidRPr="009F6054">
        <w:rPr>
          <w:rFonts w:cs="Times New Roman"/>
          <w:bCs/>
          <w:color w:val="000000" w:themeColor="text1"/>
          <w:sz w:val="18"/>
          <w:szCs w:val="18"/>
        </w:rPr>
        <w:t xml:space="preserve">Loscalzo J </w:t>
      </w:r>
      <w:r w:rsidRPr="009F6054">
        <w:rPr>
          <w:rFonts w:cs="Times New Roman"/>
          <w:color w:val="000000" w:themeColor="text1"/>
          <w:sz w:val="18"/>
          <w:szCs w:val="18"/>
        </w:rPr>
        <w:t>et al., editors. Harrison’s principles of internal medicine. 18th ed. New York:McGraw Hill;  p1617-1632</w:t>
      </w:r>
    </w:p>
    <w:p w:rsidR="00DF7D4B" w:rsidRPr="009F6054" w:rsidRDefault="00DF7D4B"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sidRPr="009F6054">
        <w:rPr>
          <w:rFonts w:cs="Times New Roman"/>
          <w:sz w:val="18"/>
          <w:szCs w:val="18"/>
        </w:rPr>
        <w:t xml:space="preserve"> </w:t>
      </w:r>
      <w:hyperlink r:id="rId11" w:history="1">
        <w:r w:rsidRPr="009F6054">
          <w:rPr>
            <w:rFonts w:cs="Times New Roman"/>
            <w:color w:val="000000" w:themeColor="text1"/>
            <w:sz w:val="18"/>
            <w:szCs w:val="18"/>
          </w:rPr>
          <w:t>Kumar</w:t>
        </w:r>
      </w:hyperlink>
      <w:r w:rsidRPr="009F6054">
        <w:rPr>
          <w:rFonts w:cs="Times New Roman"/>
          <w:sz w:val="18"/>
          <w:szCs w:val="18"/>
        </w:rPr>
        <w:t xml:space="preserve"> J</w:t>
      </w:r>
      <w:r w:rsidRPr="009F6054">
        <w:rPr>
          <w:rFonts w:cs="Times New Roman"/>
          <w:color w:val="000000" w:themeColor="text1"/>
          <w:sz w:val="18"/>
          <w:szCs w:val="18"/>
        </w:rPr>
        <w:t xml:space="preserve">, </w:t>
      </w:r>
      <w:hyperlink r:id="rId12" w:history="1">
        <w:r w:rsidRPr="009F6054">
          <w:rPr>
            <w:rFonts w:cs="Times New Roman"/>
            <w:color w:val="000000" w:themeColor="text1"/>
            <w:sz w:val="18"/>
            <w:szCs w:val="18"/>
          </w:rPr>
          <w:t>Kumar</w:t>
        </w:r>
      </w:hyperlink>
      <w:r w:rsidRPr="009F6054">
        <w:rPr>
          <w:rFonts w:cs="Times New Roman"/>
          <w:sz w:val="18"/>
          <w:szCs w:val="18"/>
        </w:rPr>
        <w:t xml:space="preserve"> A</w:t>
      </w:r>
      <w:r w:rsidRPr="009F6054">
        <w:rPr>
          <w:rFonts w:cs="Times New Roman"/>
          <w:color w:val="000000" w:themeColor="text1"/>
          <w:sz w:val="18"/>
          <w:szCs w:val="18"/>
        </w:rPr>
        <w:t xml:space="preserve">, </w:t>
      </w:r>
      <w:hyperlink r:id="rId13" w:history="1">
        <w:r w:rsidRPr="009F6054">
          <w:rPr>
            <w:rFonts w:cs="Times New Roman"/>
            <w:color w:val="000000" w:themeColor="text1"/>
            <w:sz w:val="18"/>
            <w:szCs w:val="18"/>
          </w:rPr>
          <w:t>Gupta</w:t>
        </w:r>
      </w:hyperlink>
      <w:r w:rsidRPr="009F6054">
        <w:rPr>
          <w:rFonts w:cs="Times New Roman"/>
          <w:sz w:val="18"/>
          <w:szCs w:val="18"/>
        </w:rPr>
        <w:t xml:space="preserve"> S</w:t>
      </w:r>
      <w:r w:rsidRPr="009F6054">
        <w:rPr>
          <w:rFonts w:cs="Times New Roman"/>
          <w:color w:val="000000" w:themeColor="text1"/>
          <w:sz w:val="18"/>
          <w:szCs w:val="18"/>
        </w:rPr>
        <w:t xml:space="preserve">, </w:t>
      </w:r>
      <w:hyperlink r:id="rId14" w:history="1">
        <w:r w:rsidRPr="009F6054">
          <w:rPr>
            <w:rFonts w:cs="Times New Roman"/>
            <w:color w:val="000000" w:themeColor="text1"/>
            <w:sz w:val="18"/>
            <w:szCs w:val="18"/>
          </w:rPr>
          <w:t>Jain</w:t>
        </w:r>
      </w:hyperlink>
      <w:r w:rsidRPr="009F6054">
        <w:rPr>
          <w:rFonts w:cs="Times New Roman"/>
          <w:sz w:val="18"/>
          <w:szCs w:val="18"/>
        </w:rPr>
        <w:t xml:space="preserve"> D</w:t>
      </w:r>
      <w:r w:rsidRPr="009F6054">
        <w:rPr>
          <w:rFonts w:cs="Times New Roman"/>
          <w:color w:val="000000" w:themeColor="text1"/>
          <w:sz w:val="18"/>
          <w:szCs w:val="18"/>
        </w:rPr>
        <w:t xml:space="preserve">.(2007).Dengue haemorrhagic fever: an unusual cause of intracranial haemorrhage. J Neurol Neurosurg Psychiatry; 78(3): 253. </w:t>
      </w:r>
    </w:p>
    <w:p w:rsidR="00DF7D4B" w:rsidRPr="009F6054" w:rsidRDefault="00DF7D4B"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sidRPr="009F6054">
        <w:rPr>
          <w:rFonts w:cs="Times New Roman"/>
          <w:color w:val="000000" w:themeColor="text1"/>
          <w:sz w:val="18"/>
          <w:szCs w:val="18"/>
        </w:rPr>
        <w:t xml:space="preserve">Sanguansermsri T, Poneprasert B, Phornphutkul B, et al. (1976). </w:t>
      </w:r>
      <w:r w:rsidRPr="009F6054">
        <w:rPr>
          <w:rStyle w:val="ref-title"/>
          <w:rFonts w:cs="Times New Roman"/>
          <w:color w:val="000000" w:themeColor="text1"/>
          <w:sz w:val="18"/>
          <w:szCs w:val="18"/>
        </w:rPr>
        <w:t>Acute encephalopathy associated with dengue infection.</w:t>
      </w:r>
      <w:r w:rsidRPr="009F6054">
        <w:rPr>
          <w:rFonts w:cs="Times New Roman"/>
          <w:color w:val="000000" w:themeColor="text1"/>
          <w:sz w:val="18"/>
          <w:szCs w:val="18"/>
        </w:rPr>
        <w:t xml:space="preserve"> </w:t>
      </w:r>
      <w:r w:rsidRPr="009F6054">
        <w:rPr>
          <w:rFonts w:cs="Times New Roman"/>
          <w:sz w:val="18"/>
          <w:szCs w:val="18"/>
        </w:rPr>
        <w:t>Bangkok: Seameo Tromped</w:t>
      </w:r>
      <w:r w:rsidRPr="009F6054">
        <w:rPr>
          <w:rFonts w:cs="Times New Roman"/>
          <w:color w:val="000000" w:themeColor="text1"/>
          <w:sz w:val="18"/>
          <w:szCs w:val="18"/>
        </w:rPr>
        <w:t>:10–11</w:t>
      </w:r>
    </w:p>
    <w:p w:rsidR="00DF7D4B" w:rsidRPr="009F6054" w:rsidRDefault="00DF7D4B"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sidRPr="009F6054">
        <w:rPr>
          <w:rFonts w:cs="Times New Roman"/>
          <w:color w:val="000000" w:themeColor="text1"/>
          <w:sz w:val="18"/>
          <w:szCs w:val="18"/>
        </w:rPr>
        <w:t xml:space="preserve">Hendarto SK, Hadinegoro SR. (1992). Dengue encephalopathy. </w:t>
      </w:r>
      <w:r w:rsidRPr="009F6054">
        <w:rPr>
          <w:rStyle w:val="ref-journal"/>
          <w:rFonts w:cs="Times New Roman"/>
          <w:color w:val="000000" w:themeColor="text1"/>
          <w:sz w:val="18"/>
          <w:szCs w:val="18"/>
        </w:rPr>
        <w:t xml:space="preserve">Acta Paediatr Jpn </w:t>
      </w:r>
      <w:r w:rsidRPr="009F6054">
        <w:rPr>
          <w:rFonts w:cs="Times New Roman"/>
          <w:color w:val="000000" w:themeColor="text1"/>
          <w:sz w:val="18"/>
          <w:szCs w:val="18"/>
        </w:rPr>
        <w:t>1992;</w:t>
      </w:r>
      <w:r w:rsidRPr="009F6054">
        <w:rPr>
          <w:rStyle w:val="ref-vol"/>
          <w:rFonts w:cs="Times New Roman"/>
          <w:color w:val="000000" w:themeColor="text1"/>
        </w:rPr>
        <w:t>34</w:t>
      </w:r>
      <w:r w:rsidRPr="009F6054">
        <w:rPr>
          <w:rFonts w:cs="Times New Roman"/>
          <w:color w:val="000000" w:themeColor="text1"/>
          <w:sz w:val="18"/>
          <w:szCs w:val="18"/>
        </w:rPr>
        <w:t>:350–7</w:t>
      </w:r>
    </w:p>
    <w:p w:rsidR="00DF7D4B" w:rsidRPr="009F6054" w:rsidRDefault="00CD1AFA"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Pr>
          <w:rFonts w:cs="Times New Roman"/>
          <w:noProof/>
          <w:color w:val="000000" w:themeColor="text1"/>
          <w:sz w:val="18"/>
          <w:szCs w:val="18"/>
          <w:lang w:bidi="ar-SA"/>
        </w:rPr>
        <w:lastRenderedPageBreak/>
        <w:pict>
          <v:shape id="_x0000_s1074" type="#_x0000_t202" style="position:absolute;left:0;text-align:left;margin-left:134.75pt;margin-top:-24.85pt;width:180.5pt;height:18.75pt;z-index:251673600;mso-width-percent:400;mso-width-percent:400;mso-width-relative:margin;mso-height-relative:margin" filled="f" stroked="f">
            <v:textbox>
              <w:txbxContent>
                <w:p w:rsidR="002B5765" w:rsidRPr="00D913C5" w:rsidRDefault="002B5765" w:rsidP="002B5765">
                  <w:pPr>
                    <w:jc w:val="center"/>
                    <w:rPr>
                      <w:sz w:val="16"/>
                      <w:szCs w:val="16"/>
                    </w:rPr>
                  </w:pPr>
                  <w:r>
                    <w:rPr>
                      <w:rFonts w:ascii="Cambria" w:hAnsi="Cambria"/>
                      <w:b/>
                      <w:bCs/>
                      <w:iCs/>
                      <w:color w:val="000000" w:themeColor="text1"/>
                      <w:sz w:val="16"/>
                      <w:szCs w:val="16"/>
                    </w:rPr>
                    <w:t xml:space="preserve">Singh </w:t>
                  </w:r>
                  <w:r w:rsidRPr="002B5765">
                    <w:rPr>
                      <w:rFonts w:ascii="Cambria" w:hAnsi="Cambria"/>
                      <w:b/>
                      <w:bCs/>
                      <w:i/>
                      <w:iCs/>
                      <w:color w:val="000000" w:themeColor="text1"/>
                      <w:sz w:val="16"/>
                      <w:szCs w:val="16"/>
                    </w:rPr>
                    <w:t>et al</w:t>
                  </w:r>
                </w:p>
              </w:txbxContent>
            </v:textbox>
          </v:shape>
        </w:pict>
      </w:r>
      <w:r w:rsidR="00DF7D4B" w:rsidRPr="009F6054">
        <w:rPr>
          <w:rFonts w:cs="Times New Roman"/>
          <w:color w:val="000000" w:themeColor="text1"/>
          <w:sz w:val="18"/>
          <w:szCs w:val="18"/>
        </w:rPr>
        <w:t xml:space="preserve">Murthy J. (2010). Neurological complications of dengue infection. Neurol India;58:581-4 </w:t>
      </w:r>
    </w:p>
    <w:p w:rsidR="00DF7D4B" w:rsidRPr="009F6054" w:rsidRDefault="00DF7D4B" w:rsidP="002B5765">
      <w:pPr>
        <w:pStyle w:val="ListParagraph"/>
        <w:numPr>
          <w:ilvl w:val="0"/>
          <w:numId w:val="6"/>
        </w:numPr>
        <w:autoSpaceDE w:val="0"/>
        <w:autoSpaceDN w:val="0"/>
        <w:adjustRightInd w:val="0"/>
        <w:spacing w:after="0" w:line="240" w:lineRule="auto"/>
        <w:jc w:val="both"/>
        <w:rPr>
          <w:rFonts w:cs="Times New Roman"/>
          <w:color w:val="000000" w:themeColor="text1"/>
          <w:sz w:val="18"/>
          <w:szCs w:val="18"/>
        </w:rPr>
      </w:pPr>
      <w:r w:rsidRPr="009F6054">
        <w:rPr>
          <w:rFonts w:cs="Times New Roman"/>
          <w:color w:val="000000" w:themeColor="text1"/>
          <w:sz w:val="18"/>
          <w:szCs w:val="18"/>
        </w:rPr>
        <w:t>Trung DT, Wills B. (2010). Systemic vascular leakage associated with dengue infection - the clinical perspective. Curr Top Microbiol Immunol;338:57-66</w:t>
      </w:r>
    </w:p>
    <w:p w:rsidR="00DF7D4B" w:rsidRPr="009F6054" w:rsidRDefault="00DF7D4B" w:rsidP="00DF7D4B">
      <w:pPr>
        <w:pStyle w:val="ListParagraph"/>
        <w:numPr>
          <w:ilvl w:val="0"/>
          <w:numId w:val="6"/>
        </w:numPr>
        <w:tabs>
          <w:tab w:val="left" w:pos="8400"/>
        </w:tabs>
        <w:autoSpaceDE w:val="0"/>
        <w:autoSpaceDN w:val="0"/>
        <w:adjustRightInd w:val="0"/>
        <w:spacing w:after="0" w:line="240" w:lineRule="auto"/>
        <w:jc w:val="both"/>
        <w:rPr>
          <w:rFonts w:cs="Times New Roman"/>
          <w:b/>
          <w:bCs/>
          <w:sz w:val="18"/>
          <w:szCs w:val="18"/>
        </w:rPr>
      </w:pPr>
      <w:r w:rsidRPr="009F6054">
        <w:rPr>
          <w:rFonts w:cs="Times New Roman"/>
          <w:color w:val="000000" w:themeColor="text1"/>
          <w:sz w:val="18"/>
          <w:szCs w:val="18"/>
        </w:rPr>
        <w:t xml:space="preserve">Noisakran S, Chokephaibulkit K, Songprakhon P, Onlamoon N, Hsiao HM, Villinger F, </w:t>
      </w:r>
      <w:r w:rsidRPr="009F6054">
        <w:rPr>
          <w:rFonts w:cs="Times New Roman"/>
          <w:i/>
          <w:iCs/>
          <w:color w:val="000000" w:themeColor="text1"/>
          <w:sz w:val="18"/>
          <w:szCs w:val="18"/>
        </w:rPr>
        <w:t>et al</w:t>
      </w:r>
      <w:r w:rsidRPr="009F6054">
        <w:rPr>
          <w:rFonts w:cs="Times New Roman"/>
          <w:color w:val="000000" w:themeColor="text1"/>
          <w:sz w:val="18"/>
          <w:szCs w:val="18"/>
        </w:rPr>
        <w:t xml:space="preserve">. (2009). A re-evaluation of the mechanisms leading to dengue hemorrhagic </w:t>
      </w:r>
      <w:r w:rsidR="002B5765" w:rsidRPr="009F6054">
        <w:rPr>
          <w:rFonts w:cs="Times New Roman"/>
          <w:color w:val="000000" w:themeColor="text1"/>
          <w:sz w:val="18"/>
          <w:szCs w:val="18"/>
        </w:rPr>
        <w:t>fever</w:t>
      </w:r>
      <w:r w:rsidRPr="009F6054">
        <w:rPr>
          <w:rFonts w:cs="Times New Roman"/>
          <w:color w:val="000000" w:themeColor="text1"/>
          <w:sz w:val="18"/>
          <w:szCs w:val="18"/>
        </w:rPr>
        <w:t>. Ann N Y Acad Sci 2009;1171:E24-35</w:t>
      </w:r>
    </w:p>
    <w:p w:rsidR="00DF7D4B" w:rsidRPr="002D0D69" w:rsidRDefault="00DF7D4B" w:rsidP="00DF7D4B">
      <w:pPr>
        <w:jc w:val="both"/>
        <w:rPr>
          <w:rFonts w:cs="Times New Roman"/>
          <w:b/>
          <w:bCs/>
        </w:rPr>
      </w:pPr>
    </w:p>
    <w:bookmarkEnd w:id="0"/>
    <w:bookmarkEnd w:id="1"/>
    <w:p w:rsidR="00F81F94" w:rsidRPr="00180004" w:rsidRDefault="00F81F94" w:rsidP="00F81F94">
      <w:pPr>
        <w:autoSpaceDE w:val="0"/>
        <w:autoSpaceDN w:val="0"/>
        <w:adjustRightInd w:val="0"/>
        <w:spacing w:after="0" w:line="240" w:lineRule="auto"/>
        <w:jc w:val="center"/>
        <w:rPr>
          <w:rFonts w:ascii="Cambria" w:hAnsi="Cambria"/>
          <w:b/>
          <w:bCs/>
          <w:color w:val="002060"/>
          <w:sz w:val="20"/>
          <w:szCs w:val="20"/>
        </w:rPr>
      </w:pPr>
    </w:p>
    <w:sectPr w:rsidR="00F81F94" w:rsidRPr="00180004" w:rsidSect="002B5765">
      <w:footerReference w:type="default" r:id="rId15"/>
      <w:pgSz w:w="11907" w:h="16839" w:code="9"/>
      <w:pgMar w:top="1712" w:right="1440" w:bottom="1440" w:left="1440" w:header="720" w:footer="1008"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50" w:rsidRDefault="00420650" w:rsidP="000012AC">
      <w:pPr>
        <w:spacing w:after="0" w:line="240" w:lineRule="auto"/>
      </w:pPr>
      <w:r>
        <w:separator/>
      </w:r>
    </w:p>
  </w:endnote>
  <w:endnote w:type="continuationSeparator" w:id="1">
    <w:p w:rsidR="00420650" w:rsidRDefault="00420650" w:rsidP="00001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 Lotus">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EE" w:rsidRPr="0008744E" w:rsidRDefault="00CD1AFA" w:rsidP="00D913C5">
    <w:pPr>
      <w:pStyle w:val="Footer"/>
      <w:pBdr>
        <w:top w:val="single" w:sz="4" w:space="1" w:color="D9D9D9" w:themeColor="background1" w:themeShade="D9"/>
      </w:pBdr>
      <w:tabs>
        <w:tab w:val="clear" w:pos="4680"/>
        <w:tab w:val="clear" w:pos="9360"/>
        <w:tab w:val="center" w:pos="4500"/>
        <w:tab w:val="left" w:pos="5985"/>
      </w:tabs>
      <w:rPr>
        <w:b/>
        <w:sz w:val="16"/>
        <w:szCs w:val="16"/>
      </w:rPr>
    </w:pPr>
    <w:sdt>
      <w:sdtPr>
        <w:rPr>
          <w:sz w:val="16"/>
          <w:szCs w:val="16"/>
        </w:rPr>
        <w:id w:val="409268618"/>
        <w:docPartObj>
          <w:docPartGallery w:val="Page Numbers (Bottom of Page)"/>
          <w:docPartUnique/>
        </w:docPartObj>
      </w:sdtPr>
      <w:sdtEndPr>
        <w:rPr>
          <w:b/>
          <w:spacing w:val="60"/>
        </w:rPr>
      </w:sdtEndPr>
      <w:sdtContent>
        <w:r w:rsidR="00830BEE" w:rsidRPr="0008744E">
          <w:rPr>
            <w:rFonts w:ascii="Cambria" w:hAnsi="Cambria"/>
            <w:b/>
            <w:sz w:val="16"/>
            <w:szCs w:val="16"/>
          </w:rPr>
          <w:t xml:space="preserve">ABR Vol </w:t>
        </w:r>
        <w:r w:rsidR="00830BEE">
          <w:rPr>
            <w:rFonts w:ascii="Cambria" w:hAnsi="Cambria"/>
            <w:b/>
            <w:sz w:val="16"/>
            <w:szCs w:val="16"/>
          </w:rPr>
          <w:t>6</w:t>
        </w:r>
        <w:r w:rsidR="00830BEE" w:rsidRPr="0008744E">
          <w:rPr>
            <w:rFonts w:ascii="Cambria" w:hAnsi="Cambria"/>
            <w:b/>
            <w:sz w:val="16"/>
            <w:szCs w:val="16"/>
          </w:rPr>
          <w:t xml:space="preserve"> [</w:t>
        </w:r>
        <w:r w:rsidR="00830BEE">
          <w:rPr>
            <w:rFonts w:ascii="Cambria" w:hAnsi="Cambria"/>
            <w:b/>
            <w:sz w:val="16"/>
            <w:szCs w:val="16"/>
          </w:rPr>
          <w:t>4</w:t>
        </w:r>
        <w:r w:rsidR="00830BEE" w:rsidRPr="0008744E">
          <w:rPr>
            <w:rFonts w:ascii="Cambria" w:hAnsi="Cambria"/>
            <w:b/>
            <w:sz w:val="16"/>
            <w:szCs w:val="16"/>
          </w:rPr>
          <w:t xml:space="preserve">] </w:t>
        </w:r>
        <w:r w:rsidR="00830BEE">
          <w:rPr>
            <w:rFonts w:ascii="Cambria" w:hAnsi="Cambria"/>
            <w:b/>
            <w:sz w:val="16"/>
            <w:szCs w:val="16"/>
          </w:rPr>
          <w:t>July 2015</w:t>
        </w:r>
        <w:r w:rsidR="00830BEE">
          <w:rPr>
            <w:rFonts w:ascii="Cambria" w:hAnsi="Cambria"/>
            <w:b/>
            <w:sz w:val="16"/>
            <w:szCs w:val="16"/>
          </w:rPr>
          <w:tab/>
        </w:r>
        <w:r w:rsidRPr="0008744E">
          <w:rPr>
            <w:b/>
            <w:sz w:val="16"/>
            <w:szCs w:val="16"/>
          </w:rPr>
          <w:fldChar w:fldCharType="begin"/>
        </w:r>
        <w:r w:rsidR="00830BEE" w:rsidRPr="0008744E">
          <w:rPr>
            <w:b/>
            <w:sz w:val="16"/>
            <w:szCs w:val="16"/>
          </w:rPr>
          <w:instrText xml:space="preserve"> PAGE   \* MERGEFORMAT </w:instrText>
        </w:r>
        <w:r w:rsidRPr="0008744E">
          <w:rPr>
            <w:b/>
            <w:sz w:val="16"/>
            <w:szCs w:val="16"/>
          </w:rPr>
          <w:fldChar w:fldCharType="separate"/>
        </w:r>
        <w:r w:rsidR="00203698">
          <w:rPr>
            <w:b/>
            <w:noProof/>
            <w:sz w:val="16"/>
            <w:szCs w:val="16"/>
          </w:rPr>
          <w:t>148</w:t>
        </w:r>
        <w:r w:rsidRPr="0008744E">
          <w:rPr>
            <w:b/>
            <w:sz w:val="16"/>
            <w:szCs w:val="16"/>
          </w:rPr>
          <w:fldChar w:fldCharType="end"/>
        </w:r>
        <w:r w:rsidR="00830BEE" w:rsidRPr="0008744E">
          <w:rPr>
            <w:b/>
            <w:sz w:val="16"/>
            <w:szCs w:val="16"/>
          </w:rPr>
          <w:t xml:space="preserve"> | </w:t>
        </w:r>
        <w:r w:rsidR="00830BEE" w:rsidRPr="0008744E">
          <w:rPr>
            <w:b/>
            <w:spacing w:val="60"/>
            <w:sz w:val="16"/>
            <w:szCs w:val="16"/>
          </w:rPr>
          <w:t>Page</w:t>
        </w:r>
      </w:sdtContent>
    </w:sdt>
    <w:r w:rsidR="00830BEE">
      <w:rPr>
        <w:b/>
        <w:spacing w:val="60"/>
        <w:sz w:val="16"/>
        <w:szCs w:val="16"/>
      </w:rPr>
      <w:tab/>
      <w:t xml:space="preserve">     </w:t>
    </w:r>
    <w:r w:rsidR="00830BEE" w:rsidRPr="00680CE2">
      <w:rPr>
        <w:rFonts w:ascii="Cambria" w:hAnsi="Cambria"/>
        <w:b/>
        <w:sz w:val="16"/>
        <w:szCs w:val="16"/>
      </w:rPr>
      <w:t>©201</w:t>
    </w:r>
    <w:r w:rsidR="00830BEE">
      <w:rPr>
        <w:rFonts w:ascii="Cambria" w:hAnsi="Cambria"/>
        <w:b/>
        <w:sz w:val="16"/>
        <w:szCs w:val="16"/>
      </w:rPr>
      <w:t>5</w:t>
    </w:r>
    <w:r w:rsidR="00830BEE" w:rsidRPr="00680CE2">
      <w:rPr>
        <w:rFonts w:ascii="Cambria" w:hAnsi="Cambria"/>
        <w:b/>
        <w:sz w:val="16"/>
        <w:szCs w:val="16"/>
      </w:rPr>
      <w:t xml:space="preserve"> Society of Education, India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50" w:rsidRDefault="00420650" w:rsidP="000012AC">
      <w:pPr>
        <w:spacing w:after="0" w:line="240" w:lineRule="auto"/>
      </w:pPr>
      <w:r>
        <w:separator/>
      </w:r>
    </w:p>
  </w:footnote>
  <w:footnote w:type="continuationSeparator" w:id="1">
    <w:p w:rsidR="00420650" w:rsidRDefault="00420650" w:rsidP="00001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C35"/>
    <w:multiLevelType w:val="hybridMultilevel"/>
    <w:tmpl w:val="8E2CA5EE"/>
    <w:lvl w:ilvl="0" w:tplc="4009000F">
      <w:start w:val="1"/>
      <w:numFmt w:val="decimal"/>
      <w:lvlText w:val="%1."/>
      <w:lvlJc w:val="left"/>
      <w:pPr>
        <w:ind w:left="360" w:hanging="360"/>
      </w:pPr>
      <w:rPr>
        <w:color w:val="auto"/>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
    <w:nsid w:val="40221DBF"/>
    <w:multiLevelType w:val="hybridMultilevel"/>
    <w:tmpl w:val="5D808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B2A08"/>
    <w:multiLevelType w:val="hybridMultilevel"/>
    <w:tmpl w:val="FA0096E8"/>
    <w:lvl w:ilvl="0" w:tplc="DAD834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841E1D"/>
    <w:multiLevelType w:val="hybridMultilevel"/>
    <w:tmpl w:val="4FBAE4D6"/>
    <w:lvl w:ilvl="0" w:tplc="FB0CBD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849CD"/>
    <w:multiLevelType w:val="hybridMultilevel"/>
    <w:tmpl w:val="DC2ABFB8"/>
    <w:lvl w:ilvl="0" w:tplc="5DE8FF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70BA7"/>
    <w:multiLevelType w:val="hybridMultilevel"/>
    <w:tmpl w:val="A970C6F4"/>
    <w:lvl w:ilvl="0" w:tplc="074890D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00354">
      <o:colormenu v:ext="edit" strokecolor="none [2415]"/>
    </o:shapedefaults>
  </w:hdrShapeDefaults>
  <w:footnotePr>
    <w:footnote w:id="0"/>
    <w:footnote w:id="1"/>
  </w:footnotePr>
  <w:endnotePr>
    <w:endnote w:id="0"/>
    <w:endnote w:id="1"/>
  </w:endnotePr>
  <w:compat/>
  <w:rsids>
    <w:rsidRoot w:val="00DC7D77"/>
    <w:rsid w:val="000012AC"/>
    <w:rsid w:val="0001251A"/>
    <w:rsid w:val="000132FC"/>
    <w:rsid w:val="00014CD2"/>
    <w:rsid w:val="00030805"/>
    <w:rsid w:val="00034E5A"/>
    <w:rsid w:val="00044034"/>
    <w:rsid w:val="00044B54"/>
    <w:rsid w:val="000455F1"/>
    <w:rsid w:val="000561BE"/>
    <w:rsid w:val="00056873"/>
    <w:rsid w:val="00056B9B"/>
    <w:rsid w:val="00057B6B"/>
    <w:rsid w:val="000632B5"/>
    <w:rsid w:val="0007604F"/>
    <w:rsid w:val="0008494B"/>
    <w:rsid w:val="0008744E"/>
    <w:rsid w:val="00092162"/>
    <w:rsid w:val="000967CA"/>
    <w:rsid w:val="000A7EBA"/>
    <w:rsid w:val="000B0EAD"/>
    <w:rsid w:val="000C02AE"/>
    <w:rsid w:val="000D40C2"/>
    <w:rsid w:val="000E79F0"/>
    <w:rsid w:val="0010163B"/>
    <w:rsid w:val="0010170A"/>
    <w:rsid w:val="00103D60"/>
    <w:rsid w:val="00107C46"/>
    <w:rsid w:val="0011306A"/>
    <w:rsid w:val="00121D83"/>
    <w:rsid w:val="00126A3E"/>
    <w:rsid w:val="0014320A"/>
    <w:rsid w:val="00144BDD"/>
    <w:rsid w:val="00180004"/>
    <w:rsid w:val="00182B96"/>
    <w:rsid w:val="00186126"/>
    <w:rsid w:val="0019099B"/>
    <w:rsid w:val="001918CF"/>
    <w:rsid w:val="00197C75"/>
    <w:rsid w:val="001A20FA"/>
    <w:rsid w:val="001A3741"/>
    <w:rsid w:val="001A76E2"/>
    <w:rsid w:val="001C24C0"/>
    <w:rsid w:val="001C31EF"/>
    <w:rsid w:val="001C3706"/>
    <w:rsid w:val="001D0936"/>
    <w:rsid w:val="001D1DEE"/>
    <w:rsid w:val="001F3745"/>
    <w:rsid w:val="00203698"/>
    <w:rsid w:val="002038DE"/>
    <w:rsid w:val="00210EA9"/>
    <w:rsid w:val="00211B08"/>
    <w:rsid w:val="00220B5D"/>
    <w:rsid w:val="002365D5"/>
    <w:rsid w:val="002418A6"/>
    <w:rsid w:val="00242674"/>
    <w:rsid w:val="002607F0"/>
    <w:rsid w:val="00276755"/>
    <w:rsid w:val="002777A2"/>
    <w:rsid w:val="002814D3"/>
    <w:rsid w:val="00283C3C"/>
    <w:rsid w:val="002875F8"/>
    <w:rsid w:val="002A1723"/>
    <w:rsid w:val="002A6000"/>
    <w:rsid w:val="002B14F4"/>
    <w:rsid w:val="002B5765"/>
    <w:rsid w:val="002C426C"/>
    <w:rsid w:val="002D530F"/>
    <w:rsid w:val="00302F27"/>
    <w:rsid w:val="00304647"/>
    <w:rsid w:val="00334412"/>
    <w:rsid w:val="00334418"/>
    <w:rsid w:val="00334C87"/>
    <w:rsid w:val="003474CC"/>
    <w:rsid w:val="003528EA"/>
    <w:rsid w:val="0037681D"/>
    <w:rsid w:val="00395A55"/>
    <w:rsid w:val="003A4AE0"/>
    <w:rsid w:val="003B1400"/>
    <w:rsid w:val="003B16DC"/>
    <w:rsid w:val="003B55D9"/>
    <w:rsid w:val="003C059F"/>
    <w:rsid w:val="003C15AD"/>
    <w:rsid w:val="003C39E2"/>
    <w:rsid w:val="003C3CA8"/>
    <w:rsid w:val="003D5F43"/>
    <w:rsid w:val="003E1985"/>
    <w:rsid w:val="003E303A"/>
    <w:rsid w:val="003F62BF"/>
    <w:rsid w:val="0041086A"/>
    <w:rsid w:val="00415AA3"/>
    <w:rsid w:val="00420288"/>
    <w:rsid w:val="00420650"/>
    <w:rsid w:val="0045074A"/>
    <w:rsid w:val="004633C4"/>
    <w:rsid w:val="00470A0D"/>
    <w:rsid w:val="00472CEE"/>
    <w:rsid w:val="00481E9A"/>
    <w:rsid w:val="004902B2"/>
    <w:rsid w:val="0049267E"/>
    <w:rsid w:val="004949CF"/>
    <w:rsid w:val="004A079A"/>
    <w:rsid w:val="004A215D"/>
    <w:rsid w:val="004A2B6B"/>
    <w:rsid w:val="004A7BA2"/>
    <w:rsid w:val="004E050F"/>
    <w:rsid w:val="004E561A"/>
    <w:rsid w:val="004E5AA0"/>
    <w:rsid w:val="004F2EFA"/>
    <w:rsid w:val="004F5C89"/>
    <w:rsid w:val="005051D0"/>
    <w:rsid w:val="00505292"/>
    <w:rsid w:val="00505635"/>
    <w:rsid w:val="00507895"/>
    <w:rsid w:val="00510FCA"/>
    <w:rsid w:val="00511DA5"/>
    <w:rsid w:val="00535768"/>
    <w:rsid w:val="00535C2C"/>
    <w:rsid w:val="00536FEB"/>
    <w:rsid w:val="00537397"/>
    <w:rsid w:val="00546A2B"/>
    <w:rsid w:val="00546AB2"/>
    <w:rsid w:val="005525A5"/>
    <w:rsid w:val="00561917"/>
    <w:rsid w:val="0056241D"/>
    <w:rsid w:val="005667B4"/>
    <w:rsid w:val="0057272A"/>
    <w:rsid w:val="0058177F"/>
    <w:rsid w:val="00587986"/>
    <w:rsid w:val="005B46AE"/>
    <w:rsid w:val="005C38A4"/>
    <w:rsid w:val="005D014A"/>
    <w:rsid w:val="005E07E3"/>
    <w:rsid w:val="005E1A27"/>
    <w:rsid w:val="005E7B55"/>
    <w:rsid w:val="005F09A7"/>
    <w:rsid w:val="006060C8"/>
    <w:rsid w:val="0061592D"/>
    <w:rsid w:val="00623FFF"/>
    <w:rsid w:val="00625443"/>
    <w:rsid w:val="006254F2"/>
    <w:rsid w:val="006255A5"/>
    <w:rsid w:val="006429B8"/>
    <w:rsid w:val="00650208"/>
    <w:rsid w:val="00680CE2"/>
    <w:rsid w:val="006A048C"/>
    <w:rsid w:val="006B18D3"/>
    <w:rsid w:val="006B422F"/>
    <w:rsid w:val="006B686B"/>
    <w:rsid w:val="006D0901"/>
    <w:rsid w:val="006D0A73"/>
    <w:rsid w:val="006D6348"/>
    <w:rsid w:val="006F63F7"/>
    <w:rsid w:val="00711CC9"/>
    <w:rsid w:val="00712B38"/>
    <w:rsid w:val="007133AE"/>
    <w:rsid w:val="00715E2C"/>
    <w:rsid w:val="007473ED"/>
    <w:rsid w:val="00752086"/>
    <w:rsid w:val="007540ED"/>
    <w:rsid w:val="0076663F"/>
    <w:rsid w:val="00774670"/>
    <w:rsid w:val="007755A7"/>
    <w:rsid w:val="00776085"/>
    <w:rsid w:val="007912EB"/>
    <w:rsid w:val="007C6D14"/>
    <w:rsid w:val="007C7957"/>
    <w:rsid w:val="007D23B0"/>
    <w:rsid w:val="007D2F62"/>
    <w:rsid w:val="007D60ED"/>
    <w:rsid w:val="007F2A07"/>
    <w:rsid w:val="00806B24"/>
    <w:rsid w:val="00811334"/>
    <w:rsid w:val="00830BEE"/>
    <w:rsid w:val="00837B1A"/>
    <w:rsid w:val="00837EE2"/>
    <w:rsid w:val="0085503D"/>
    <w:rsid w:val="00856132"/>
    <w:rsid w:val="008629B8"/>
    <w:rsid w:val="00871B30"/>
    <w:rsid w:val="00875667"/>
    <w:rsid w:val="008810B3"/>
    <w:rsid w:val="008823DB"/>
    <w:rsid w:val="0088670E"/>
    <w:rsid w:val="008868D9"/>
    <w:rsid w:val="00886F30"/>
    <w:rsid w:val="008A072F"/>
    <w:rsid w:val="008A1804"/>
    <w:rsid w:val="008A5073"/>
    <w:rsid w:val="008A54CD"/>
    <w:rsid w:val="008D043C"/>
    <w:rsid w:val="008D63B9"/>
    <w:rsid w:val="008D7427"/>
    <w:rsid w:val="00916351"/>
    <w:rsid w:val="00916E42"/>
    <w:rsid w:val="00927A80"/>
    <w:rsid w:val="00941BA1"/>
    <w:rsid w:val="0094318B"/>
    <w:rsid w:val="00965E71"/>
    <w:rsid w:val="00966E1E"/>
    <w:rsid w:val="0097753C"/>
    <w:rsid w:val="00980B62"/>
    <w:rsid w:val="0099735A"/>
    <w:rsid w:val="009A5733"/>
    <w:rsid w:val="009B1EDC"/>
    <w:rsid w:val="009B227B"/>
    <w:rsid w:val="009B679B"/>
    <w:rsid w:val="009C02A3"/>
    <w:rsid w:val="009D3325"/>
    <w:rsid w:val="009F06EB"/>
    <w:rsid w:val="009F32C3"/>
    <w:rsid w:val="00A05C32"/>
    <w:rsid w:val="00A07A9A"/>
    <w:rsid w:val="00A152B6"/>
    <w:rsid w:val="00A31040"/>
    <w:rsid w:val="00A32FEA"/>
    <w:rsid w:val="00A33DEE"/>
    <w:rsid w:val="00A4701F"/>
    <w:rsid w:val="00A55048"/>
    <w:rsid w:val="00A558BE"/>
    <w:rsid w:val="00A5605E"/>
    <w:rsid w:val="00A77D1B"/>
    <w:rsid w:val="00A82A0D"/>
    <w:rsid w:val="00A91360"/>
    <w:rsid w:val="00A95818"/>
    <w:rsid w:val="00A96AAF"/>
    <w:rsid w:val="00A97190"/>
    <w:rsid w:val="00AB0FAC"/>
    <w:rsid w:val="00AB2A77"/>
    <w:rsid w:val="00AB39F1"/>
    <w:rsid w:val="00AE79A5"/>
    <w:rsid w:val="00AE7E77"/>
    <w:rsid w:val="00AF09DE"/>
    <w:rsid w:val="00AF6F1D"/>
    <w:rsid w:val="00B01B52"/>
    <w:rsid w:val="00B01C67"/>
    <w:rsid w:val="00B11BF6"/>
    <w:rsid w:val="00B12219"/>
    <w:rsid w:val="00B208A8"/>
    <w:rsid w:val="00B30027"/>
    <w:rsid w:val="00B32109"/>
    <w:rsid w:val="00B32CF1"/>
    <w:rsid w:val="00B51A72"/>
    <w:rsid w:val="00B520BB"/>
    <w:rsid w:val="00B56E5D"/>
    <w:rsid w:val="00B67A92"/>
    <w:rsid w:val="00B7197D"/>
    <w:rsid w:val="00B84431"/>
    <w:rsid w:val="00B868D5"/>
    <w:rsid w:val="00B879EE"/>
    <w:rsid w:val="00B96504"/>
    <w:rsid w:val="00B965C7"/>
    <w:rsid w:val="00BA2078"/>
    <w:rsid w:val="00BA271E"/>
    <w:rsid w:val="00BB0694"/>
    <w:rsid w:val="00BB2D19"/>
    <w:rsid w:val="00BC0075"/>
    <w:rsid w:val="00BD0903"/>
    <w:rsid w:val="00BD2EF0"/>
    <w:rsid w:val="00BE5266"/>
    <w:rsid w:val="00BF62AB"/>
    <w:rsid w:val="00C0197B"/>
    <w:rsid w:val="00C055C2"/>
    <w:rsid w:val="00C17B1E"/>
    <w:rsid w:val="00C24CFE"/>
    <w:rsid w:val="00C31033"/>
    <w:rsid w:val="00C31F80"/>
    <w:rsid w:val="00C35A39"/>
    <w:rsid w:val="00C4212A"/>
    <w:rsid w:val="00C547FF"/>
    <w:rsid w:val="00C6189B"/>
    <w:rsid w:val="00C81312"/>
    <w:rsid w:val="00C84C19"/>
    <w:rsid w:val="00C85B17"/>
    <w:rsid w:val="00C95304"/>
    <w:rsid w:val="00CA4AA7"/>
    <w:rsid w:val="00CB7542"/>
    <w:rsid w:val="00CC3181"/>
    <w:rsid w:val="00CC4630"/>
    <w:rsid w:val="00CD1AFA"/>
    <w:rsid w:val="00CD6C0D"/>
    <w:rsid w:val="00CF1632"/>
    <w:rsid w:val="00CF5ED6"/>
    <w:rsid w:val="00D0059E"/>
    <w:rsid w:val="00D12D5E"/>
    <w:rsid w:val="00D261CE"/>
    <w:rsid w:val="00D26BCC"/>
    <w:rsid w:val="00D35C62"/>
    <w:rsid w:val="00D42251"/>
    <w:rsid w:val="00D43840"/>
    <w:rsid w:val="00D4521D"/>
    <w:rsid w:val="00D46028"/>
    <w:rsid w:val="00D469DF"/>
    <w:rsid w:val="00D6212A"/>
    <w:rsid w:val="00D74878"/>
    <w:rsid w:val="00D80547"/>
    <w:rsid w:val="00D815A7"/>
    <w:rsid w:val="00D828D8"/>
    <w:rsid w:val="00D913C5"/>
    <w:rsid w:val="00DA2A61"/>
    <w:rsid w:val="00DB7D85"/>
    <w:rsid w:val="00DC4697"/>
    <w:rsid w:val="00DC7D77"/>
    <w:rsid w:val="00DD7B64"/>
    <w:rsid w:val="00DE4BC4"/>
    <w:rsid w:val="00DF5363"/>
    <w:rsid w:val="00DF7D4B"/>
    <w:rsid w:val="00E0782A"/>
    <w:rsid w:val="00E275DC"/>
    <w:rsid w:val="00E30B46"/>
    <w:rsid w:val="00E34B86"/>
    <w:rsid w:val="00E36768"/>
    <w:rsid w:val="00E40F5E"/>
    <w:rsid w:val="00E422B8"/>
    <w:rsid w:val="00E6103A"/>
    <w:rsid w:val="00E61A8E"/>
    <w:rsid w:val="00E6789A"/>
    <w:rsid w:val="00E81DE7"/>
    <w:rsid w:val="00E90BCB"/>
    <w:rsid w:val="00E91DFD"/>
    <w:rsid w:val="00E92E21"/>
    <w:rsid w:val="00E96A5F"/>
    <w:rsid w:val="00EB4969"/>
    <w:rsid w:val="00EC77EF"/>
    <w:rsid w:val="00ED35A3"/>
    <w:rsid w:val="00ED51F2"/>
    <w:rsid w:val="00ED701D"/>
    <w:rsid w:val="00ED7C2B"/>
    <w:rsid w:val="00F06F67"/>
    <w:rsid w:val="00F12643"/>
    <w:rsid w:val="00F13E43"/>
    <w:rsid w:val="00F25ECB"/>
    <w:rsid w:val="00F46ACA"/>
    <w:rsid w:val="00F51DED"/>
    <w:rsid w:val="00F52E05"/>
    <w:rsid w:val="00F67084"/>
    <w:rsid w:val="00F74E1C"/>
    <w:rsid w:val="00F76D67"/>
    <w:rsid w:val="00F81F94"/>
    <w:rsid w:val="00F83FF6"/>
    <w:rsid w:val="00F85EDF"/>
    <w:rsid w:val="00FA3078"/>
    <w:rsid w:val="00FA7AFF"/>
    <w:rsid w:val="00FB0207"/>
    <w:rsid w:val="00FB48CE"/>
    <w:rsid w:val="00FB60E7"/>
    <w:rsid w:val="00FE6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strokecolor="none [2415]"/>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67"/>
  </w:style>
  <w:style w:type="paragraph" w:styleId="Heading1">
    <w:name w:val="heading 1"/>
    <w:basedOn w:val="Normal"/>
    <w:next w:val="Normal"/>
    <w:link w:val="Heading1Char"/>
    <w:uiPriority w:val="9"/>
    <w:qFormat/>
    <w:rsid w:val="00F06F6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06F6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06F6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06F6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06F6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06F6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06F6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06F6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06F6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F67"/>
    <w:rPr>
      <w:smallCaps/>
      <w:spacing w:val="5"/>
      <w:sz w:val="36"/>
      <w:szCs w:val="36"/>
    </w:rPr>
  </w:style>
  <w:style w:type="character" w:customStyle="1" w:styleId="Heading2Char">
    <w:name w:val="Heading 2 Char"/>
    <w:basedOn w:val="DefaultParagraphFont"/>
    <w:link w:val="Heading2"/>
    <w:uiPriority w:val="9"/>
    <w:semiHidden/>
    <w:rsid w:val="00F06F67"/>
    <w:rPr>
      <w:smallCaps/>
      <w:sz w:val="28"/>
      <w:szCs w:val="28"/>
    </w:rPr>
  </w:style>
  <w:style w:type="character" w:customStyle="1" w:styleId="Heading3Char">
    <w:name w:val="Heading 3 Char"/>
    <w:basedOn w:val="DefaultParagraphFont"/>
    <w:link w:val="Heading3"/>
    <w:uiPriority w:val="9"/>
    <w:rsid w:val="00F06F67"/>
    <w:rPr>
      <w:i/>
      <w:iCs/>
      <w:smallCaps/>
      <w:spacing w:val="5"/>
      <w:sz w:val="26"/>
      <w:szCs w:val="26"/>
    </w:rPr>
  </w:style>
  <w:style w:type="character" w:customStyle="1" w:styleId="Heading4Char">
    <w:name w:val="Heading 4 Char"/>
    <w:basedOn w:val="DefaultParagraphFont"/>
    <w:link w:val="Heading4"/>
    <w:uiPriority w:val="9"/>
    <w:semiHidden/>
    <w:rsid w:val="00F06F67"/>
    <w:rPr>
      <w:b/>
      <w:bCs/>
      <w:spacing w:val="5"/>
      <w:sz w:val="24"/>
      <w:szCs w:val="24"/>
    </w:rPr>
  </w:style>
  <w:style w:type="character" w:customStyle="1" w:styleId="Heading5Char">
    <w:name w:val="Heading 5 Char"/>
    <w:basedOn w:val="DefaultParagraphFont"/>
    <w:link w:val="Heading5"/>
    <w:uiPriority w:val="9"/>
    <w:semiHidden/>
    <w:rsid w:val="00F06F67"/>
    <w:rPr>
      <w:i/>
      <w:iCs/>
      <w:sz w:val="24"/>
      <w:szCs w:val="24"/>
    </w:rPr>
  </w:style>
  <w:style w:type="character" w:customStyle="1" w:styleId="Heading6Char">
    <w:name w:val="Heading 6 Char"/>
    <w:basedOn w:val="DefaultParagraphFont"/>
    <w:link w:val="Heading6"/>
    <w:uiPriority w:val="9"/>
    <w:semiHidden/>
    <w:rsid w:val="00F06F6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6F6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6F67"/>
    <w:rPr>
      <w:b/>
      <w:bCs/>
      <w:color w:val="7F7F7F" w:themeColor="text1" w:themeTint="80"/>
      <w:sz w:val="20"/>
      <w:szCs w:val="20"/>
    </w:rPr>
  </w:style>
  <w:style w:type="character" w:customStyle="1" w:styleId="Heading9Char">
    <w:name w:val="Heading 9 Char"/>
    <w:basedOn w:val="DefaultParagraphFont"/>
    <w:link w:val="Heading9"/>
    <w:uiPriority w:val="9"/>
    <w:semiHidden/>
    <w:rsid w:val="00F06F67"/>
    <w:rPr>
      <w:b/>
      <w:bCs/>
      <w:i/>
      <w:iCs/>
      <w:color w:val="7F7F7F" w:themeColor="text1" w:themeTint="80"/>
      <w:sz w:val="18"/>
      <w:szCs w:val="18"/>
    </w:rPr>
  </w:style>
  <w:style w:type="paragraph" w:styleId="Title">
    <w:name w:val="Title"/>
    <w:basedOn w:val="Normal"/>
    <w:next w:val="Normal"/>
    <w:link w:val="TitleChar"/>
    <w:uiPriority w:val="10"/>
    <w:qFormat/>
    <w:rsid w:val="00F06F6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06F67"/>
    <w:rPr>
      <w:smallCaps/>
      <w:sz w:val="52"/>
      <w:szCs w:val="52"/>
    </w:rPr>
  </w:style>
  <w:style w:type="paragraph" w:styleId="Subtitle">
    <w:name w:val="Subtitle"/>
    <w:basedOn w:val="Normal"/>
    <w:next w:val="Normal"/>
    <w:link w:val="SubtitleChar"/>
    <w:uiPriority w:val="11"/>
    <w:qFormat/>
    <w:rsid w:val="00F06F67"/>
    <w:rPr>
      <w:i/>
      <w:iCs/>
      <w:smallCaps/>
      <w:spacing w:val="10"/>
      <w:sz w:val="28"/>
      <w:szCs w:val="28"/>
    </w:rPr>
  </w:style>
  <w:style w:type="character" w:customStyle="1" w:styleId="SubtitleChar">
    <w:name w:val="Subtitle Char"/>
    <w:basedOn w:val="DefaultParagraphFont"/>
    <w:link w:val="Subtitle"/>
    <w:uiPriority w:val="11"/>
    <w:rsid w:val="00F06F67"/>
    <w:rPr>
      <w:i/>
      <w:iCs/>
      <w:smallCaps/>
      <w:spacing w:val="10"/>
      <w:sz w:val="28"/>
      <w:szCs w:val="28"/>
    </w:rPr>
  </w:style>
  <w:style w:type="character" w:styleId="Strong">
    <w:name w:val="Strong"/>
    <w:qFormat/>
    <w:rsid w:val="00F06F67"/>
    <w:rPr>
      <w:b/>
      <w:bCs/>
    </w:rPr>
  </w:style>
  <w:style w:type="character" w:styleId="Emphasis">
    <w:name w:val="Emphasis"/>
    <w:uiPriority w:val="20"/>
    <w:qFormat/>
    <w:rsid w:val="00F06F67"/>
    <w:rPr>
      <w:b/>
      <w:bCs/>
      <w:i/>
      <w:iCs/>
      <w:spacing w:val="10"/>
    </w:rPr>
  </w:style>
  <w:style w:type="paragraph" w:styleId="NoSpacing">
    <w:name w:val="No Spacing"/>
    <w:basedOn w:val="Normal"/>
    <w:uiPriority w:val="1"/>
    <w:qFormat/>
    <w:rsid w:val="00F06F67"/>
    <w:pPr>
      <w:spacing w:after="0" w:line="240" w:lineRule="auto"/>
    </w:pPr>
  </w:style>
  <w:style w:type="paragraph" w:styleId="ListParagraph">
    <w:name w:val="List Paragraph"/>
    <w:basedOn w:val="Normal"/>
    <w:link w:val="ListParagraphChar"/>
    <w:uiPriority w:val="34"/>
    <w:qFormat/>
    <w:rsid w:val="00F06F67"/>
    <w:pPr>
      <w:ind w:left="720"/>
      <w:contextualSpacing/>
    </w:pPr>
  </w:style>
  <w:style w:type="paragraph" w:styleId="Quote">
    <w:name w:val="Quote"/>
    <w:basedOn w:val="Normal"/>
    <w:next w:val="Normal"/>
    <w:link w:val="QuoteChar"/>
    <w:uiPriority w:val="29"/>
    <w:qFormat/>
    <w:rsid w:val="00F06F67"/>
    <w:rPr>
      <w:i/>
      <w:iCs/>
    </w:rPr>
  </w:style>
  <w:style w:type="character" w:customStyle="1" w:styleId="QuoteChar">
    <w:name w:val="Quote Char"/>
    <w:basedOn w:val="DefaultParagraphFont"/>
    <w:link w:val="Quote"/>
    <w:uiPriority w:val="29"/>
    <w:rsid w:val="00F06F67"/>
    <w:rPr>
      <w:i/>
      <w:iCs/>
    </w:rPr>
  </w:style>
  <w:style w:type="paragraph" w:styleId="IntenseQuote">
    <w:name w:val="Intense Quote"/>
    <w:basedOn w:val="Normal"/>
    <w:next w:val="Normal"/>
    <w:link w:val="IntenseQuoteChar"/>
    <w:uiPriority w:val="30"/>
    <w:qFormat/>
    <w:rsid w:val="00F06F6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06F67"/>
    <w:rPr>
      <w:i/>
      <w:iCs/>
    </w:rPr>
  </w:style>
  <w:style w:type="character" w:styleId="SubtleEmphasis">
    <w:name w:val="Subtle Emphasis"/>
    <w:uiPriority w:val="19"/>
    <w:qFormat/>
    <w:rsid w:val="00F06F67"/>
    <w:rPr>
      <w:i/>
      <w:iCs/>
    </w:rPr>
  </w:style>
  <w:style w:type="character" w:styleId="IntenseEmphasis">
    <w:name w:val="Intense Emphasis"/>
    <w:uiPriority w:val="21"/>
    <w:qFormat/>
    <w:rsid w:val="00F06F67"/>
    <w:rPr>
      <w:b/>
      <w:bCs/>
      <w:i/>
      <w:iCs/>
    </w:rPr>
  </w:style>
  <w:style w:type="character" w:styleId="SubtleReference">
    <w:name w:val="Subtle Reference"/>
    <w:basedOn w:val="DefaultParagraphFont"/>
    <w:uiPriority w:val="31"/>
    <w:qFormat/>
    <w:rsid w:val="00F06F67"/>
    <w:rPr>
      <w:smallCaps/>
    </w:rPr>
  </w:style>
  <w:style w:type="character" w:styleId="IntenseReference">
    <w:name w:val="Intense Reference"/>
    <w:uiPriority w:val="32"/>
    <w:qFormat/>
    <w:rsid w:val="00F06F67"/>
    <w:rPr>
      <w:b/>
      <w:bCs/>
      <w:smallCaps/>
    </w:rPr>
  </w:style>
  <w:style w:type="character" w:styleId="BookTitle">
    <w:name w:val="Book Title"/>
    <w:basedOn w:val="DefaultParagraphFont"/>
    <w:uiPriority w:val="33"/>
    <w:qFormat/>
    <w:rsid w:val="00F06F67"/>
    <w:rPr>
      <w:i/>
      <w:iCs/>
      <w:smallCaps/>
      <w:spacing w:val="5"/>
    </w:rPr>
  </w:style>
  <w:style w:type="paragraph" w:styleId="TOCHeading">
    <w:name w:val="TOC Heading"/>
    <w:basedOn w:val="Heading1"/>
    <w:next w:val="Normal"/>
    <w:uiPriority w:val="39"/>
    <w:semiHidden/>
    <w:unhideWhenUsed/>
    <w:qFormat/>
    <w:rsid w:val="00F06F67"/>
    <w:pPr>
      <w:outlineLvl w:val="9"/>
    </w:pPr>
  </w:style>
  <w:style w:type="paragraph" w:customStyle="1" w:styleId="Default">
    <w:name w:val="Default"/>
    <w:rsid w:val="00E96A5F"/>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A0">
    <w:name w:val="A0"/>
    <w:uiPriority w:val="99"/>
    <w:rsid w:val="00D74878"/>
    <w:rPr>
      <w:rFonts w:cs="Frutiger 45 Light"/>
      <w:color w:val="000000"/>
      <w:sz w:val="16"/>
      <w:szCs w:val="16"/>
    </w:rPr>
  </w:style>
  <w:style w:type="paragraph" w:styleId="NormalWeb">
    <w:name w:val="Normal (Web)"/>
    <w:basedOn w:val="Normal"/>
    <w:link w:val="NormalWebChar"/>
    <w:unhideWhenUsed/>
    <w:rsid w:val="00FE672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basedOn w:val="DefaultParagraphFont"/>
    <w:link w:val="NormalWeb"/>
    <w:rsid w:val="0041086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E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25"/>
    <w:rPr>
      <w:rFonts w:ascii="Tahoma" w:hAnsi="Tahoma" w:cs="Tahoma"/>
      <w:sz w:val="16"/>
      <w:szCs w:val="16"/>
    </w:rPr>
  </w:style>
  <w:style w:type="character" w:styleId="Hyperlink">
    <w:name w:val="Hyperlink"/>
    <w:basedOn w:val="DefaultParagraphFont"/>
    <w:uiPriority w:val="99"/>
    <w:unhideWhenUsed/>
    <w:rsid w:val="00415AA3"/>
    <w:rPr>
      <w:color w:val="0000FF"/>
      <w:u w:val="single"/>
    </w:rPr>
  </w:style>
  <w:style w:type="table" w:styleId="TableGrid">
    <w:name w:val="Table Grid"/>
    <w:basedOn w:val="TableNormal"/>
    <w:uiPriority w:val="59"/>
    <w:rsid w:val="00625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B0207"/>
  </w:style>
  <w:style w:type="character" w:customStyle="1" w:styleId="apple-converted-space">
    <w:name w:val="apple-converted-space"/>
    <w:basedOn w:val="DefaultParagraphFont"/>
    <w:rsid w:val="00FB0207"/>
  </w:style>
  <w:style w:type="paragraph" w:styleId="Header">
    <w:name w:val="header"/>
    <w:basedOn w:val="Normal"/>
    <w:link w:val="HeaderChar"/>
    <w:uiPriority w:val="99"/>
    <w:unhideWhenUsed/>
    <w:rsid w:val="0000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AC"/>
  </w:style>
  <w:style w:type="paragraph" w:styleId="Footer">
    <w:name w:val="footer"/>
    <w:basedOn w:val="Normal"/>
    <w:link w:val="FooterChar"/>
    <w:uiPriority w:val="99"/>
    <w:unhideWhenUsed/>
    <w:rsid w:val="0000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AC"/>
  </w:style>
  <w:style w:type="table" w:customStyle="1" w:styleId="PlainTable2">
    <w:name w:val="Plain Table 2"/>
    <w:basedOn w:val="TableNormal"/>
    <w:uiPriority w:val="42"/>
    <w:rsid w:val="00ED7C2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B7197D"/>
  </w:style>
  <w:style w:type="character" w:customStyle="1" w:styleId="shorttext">
    <w:name w:val="short_text"/>
    <w:basedOn w:val="DefaultParagraphFont"/>
    <w:rsid w:val="00B7197D"/>
  </w:style>
  <w:style w:type="paragraph" w:styleId="FootnoteText">
    <w:name w:val="footnote text"/>
    <w:basedOn w:val="Normal"/>
    <w:link w:val="FootnoteTextChar"/>
    <w:uiPriority w:val="99"/>
    <w:unhideWhenUsed/>
    <w:rsid w:val="00B7197D"/>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rsid w:val="00B7197D"/>
    <w:rPr>
      <w:rFonts w:ascii="Calibri" w:eastAsia="Calibri" w:hAnsi="Calibri" w:cs="Arial"/>
      <w:sz w:val="20"/>
      <w:szCs w:val="20"/>
      <w:lang w:bidi="ar-SA"/>
    </w:rPr>
  </w:style>
  <w:style w:type="character" w:styleId="FootnoteReference">
    <w:name w:val="footnote reference"/>
    <w:basedOn w:val="DefaultParagraphFont"/>
    <w:uiPriority w:val="99"/>
    <w:unhideWhenUsed/>
    <w:rsid w:val="00B7197D"/>
    <w:rPr>
      <w:vertAlign w:val="superscript"/>
    </w:rPr>
  </w:style>
  <w:style w:type="character" w:customStyle="1" w:styleId="playernameachievement">
    <w:name w:val="playername_achievement"/>
    <w:basedOn w:val="DefaultParagraphFont"/>
    <w:rsid w:val="0041086A"/>
  </w:style>
  <w:style w:type="character" w:styleId="PlaceholderText">
    <w:name w:val="Placeholder Text"/>
    <w:basedOn w:val="DefaultParagraphFont"/>
    <w:uiPriority w:val="99"/>
    <w:semiHidden/>
    <w:rsid w:val="0041086A"/>
    <w:rPr>
      <w:color w:val="808080"/>
    </w:rPr>
  </w:style>
  <w:style w:type="character" w:customStyle="1" w:styleId="shorttext1">
    <w:name w:val="short_text1"/>
    <w:basedOn w:val="DefaultParagraphFont"/>
    <w:rsid w:val="003C39E2"/>
    <w:rPr>
      <w:sz w:val="29"/>
      <w:szCs w:val="29"/>
    </w:rPr>
  </w:style>
  <w:style w:type="character" w:customStyle="1" w:styleId="longtext1">
    <w:name w:val="long_text1"/>
    <w:basedOn w:val="DefaultParagraphFont"/>
    <w:rsid w:val="003C39E2"/>
    <w:rPr>
      <w:sz w:val="20"/>
      <w:szCs w:val="20"/>
    </w:rPr>
  </w:style>
  <w:style w:type="character" w:customStyle="1" w:styleId="normaltext1">
    <w:name w:val="normaltext1"/>
    <w:basedOn w:val="DefaultParagraphFont"/>
    <w:rsid w:val="003C39E2"/>
    <w:rPr>
      <w:b w:val="0"/>
      <w:bCs w:val="0"/>
      <w:color w:val="32393D"/>
      <w:sz w:val="20"/>
      <w:szCs w:val="20"/>
    </w:rPr>
  </w:style>
  <w:style w:type="paragraph" w:styleId="Caption">
    <w:name w:val="caption"/>
    <w:basedOn w:val="Normal"/>
    <w:next w:val="Normal"/>
    <w:uiPriority w:val="35"/>
    <w:qFormat/>
    <w:rsid w:val="003C39E2"/>
    <w:pPr>
      <w:bidi/>
      <w:spacing w:before="120" w:after="120" w:line="240" w:lineRule="auto"/>
    </w:pPr>
    <w:rPr>
      <w:rFonts w:ascii="Times New Roman" w:eastAsia="Times New Roman" w:hAnsi="Times New Roman" w:cs="Times New Roman"/>
      <w:b/>
      <w:bCs/>
      <w:sz w:val="20"/>
      <w:szCs w:val="20"/>
      <w:lang w:bidi="ar-SA"/>
    </w:rPr>
  </w:style>
  <w:style w:type="character" w:customStyle="1" w:styleId="longtext">
    <w:name w:val="long_text"/>
    <w:basedOn w:val="DefaultParagraphFont"/>
    <w:rsid w:val="003C39E2"/>
  </w:style>
  <w:style w:type="character" w:customStyle="1" w:styleId="jrnl">
    <w:name w:val="jrnl"/>
    <w:basedOn w:val="DefaultParagraphFont"/>
    <w:rsid w:val="001F3745"/>
  </w:style>
  <w:style w:type="paragraph" w:customStyle="1" w:styleId="desc">
    <w:name w:val="desc"/>
    <w:basedOn w:val="Normal"/>
    <w:rsid w:val="001F374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ighlight">
    <w:name w:val="highlight"/>
    <w:basedOn w:val="DefaultParagraphFont"/>
    <w:rsid w:val="001F3745"/>
  </w:style>
  <w:style w:type="paragraph" w:customStyle="1" w:styleId="title0">
    <w:name w:val="title"/>
    <w:basedOn w:val="Normal"/>
    <w:rsid w:val="001F374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tails">
    <w:name w:val="details"/>
    <w:basedOn w:val="Normal"/>
    <w:rsid w:val="001F374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itle1">
    <w:name w:val="Title1"/>
    <w:basedOn w:val="Normal"/>
    <w:rsid w:val="0001251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Affiliation">
    <w:name w:val="Affiliation"/>
    <w:rsid w:val="008D7427"/>
    <w:pPr>
      <w:suppressAutoHyphens/>
      <w:spacing w:after="0" w:line="240" w:lineRule="auto"/>
      <w:jc w:val="center"/>
    </w:pPr>
    <w:rPr>
      <w:rFonts w:ascii="Times New Roman" w:eastAsia="SimSun" w:hAnsi="Times New Roman" w:cs="Times New Roman"/>
      <w:sz w:val="20"/>
      <w:szCs w:val="20"/>
      <w:lang w:eastAsia="zh-CN" w:bidi="ar-SA"/>
    </w:rPr>
  </w:style>
  <w:style w:type="paragraph" w:styleId="HTMLPreformatted">
    <w:name w:val="HTML Preformatted"/>
    <w:basedOn w:val="Normal"/>
    <w:link w:val="HTMLPreformattedChar"/>
    <w:uiPriority w:val="99"/>
    <w:unhideWhenUsed/>
    <w:rsid w:val="00A7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A77D1B"/>
    <w:rPr>
      <w:rFonts w:ascii="Courier New" w:eastAsia="Times New Roman" w:hAnsi="Courier New" w:cs="Courier New"/>
      <w:sz w:val="20"/>
      <w:szCs w:val="20"/>
      <w:lang w:bidi="ar-SA"/>
    </w:rPr>
  </w:style>
  <w:style w:type="character" w:customStyle="1" w:styleId="element-citation">
    <w:name w:val="element-citation"/>
    <w:basedOn w:val="DefaultParagraphFont"/>
    <w:rsid w:val="00A77D1B"/>
  </w:style>
  <w:style w:type="character" w:styleId="CommentReference">
    <w:name w:val="annotation reference"/>
    <w:basedOn w:val="DefaultParagraphFont"/>
    <w:uiPriority w:val="99"/>
    <w:semiHidden/>
    <w:unhideWhenUsed/>
    <w:rsid w:val="0037681D"/>
    <w:rPr>
      <w:sz w:val="16"/>
      <w:szCs w:val="16"/>
    </w:rPr>
  </w:style>
  <w:style w:type="paragraph" w:styleId="CommentText">
    <w:name w:val="annotation text"/>
    <w:basedOn w:val="Normal"/>
    <w:link w:val="CommentTextChar"/>
    <w:uiPriority w:val="99"/>
    <w:semiHidden/>
    <w:unhideWhenUsed/>
    <w:rsid w:val="0037681D"/>
    <w:pPr>
      <w:spacing w:after="0" w:line="240" w:lineRule="auto"/>
      <w:jc w:val="both"/>
    </w:pPr>
    <w:rPr>
      <w:rFonts w:ascii="Arial" w:eastAsia="Times New Roman" w:hAnsi="Arial" w:cs="Arial"/>
      <w:sz w:val="20"/>
      <w:szCs w:val="20"/>
      <w:u w:color="FF0000"/>
      <w:lang w:bidi="ar-SA"/>
    </w:rPr>
  </w:style>
  <w:style w:type="character" w:customStyle="1" w:styleId="CommentTextChar">
    <w:name w:val="Comment Text Char"/>
    <w:basedOn w:val="DefaultParagraphFont"/>
    <w:link w:val="CommentText"/>
    <w:uiPriority w:val="99"/>
    <w:semiHidden/>
    <w:rsid w:val="0037681D"/>
    <w:rPr>
      <w:rFonts w:ascii="Arial" w:eastAsia="Times New Roman" w:hAnsi="Arial" w:cs="Arial"/>
      <w:sz w:val="20"/>
      <w:szCs w:val="20"/>
      <w:u w:color="FF0000"/>
      <w:lang w:bidi="ar-SA"/>
    </w:rPr>
  </w:style>
  <w:style w:type="paragraph" w:styleId="CommentSubject">
    <w:name w:val="annotation subject"/>
    <w:basedOn w:val="CommentText"/>
    <w:next w:val="CommentText"/>
    <w:link w:val="CommentSubjectChar"/>
    <w:uiPriority w:val="99"/>
    <w:semiHidden/>
    <w:unhideWhenUsed/>
    <w:rsid w:val="0037681D"/>
    <w:rPr>
      <w:b/>
      <w:bCs/>
    </w:rPr>
  </w:style>
  <w:style w:type="character" w:customStyle="1" w:styleId="CommentSubjectChar">
    <w:name w:val="Comment Subject Char"/>
    <w:basedOn w:val="CommentTextChar"/>
    <w:link w:val="CommentSubject"/>
    <w:uiPriority w:val="99"/>
    <w:semiHidden/>
    <w:rsid w:val="0037681D"/>
    <w:rPr>
      <w:b/>
      <w:bCs/>
    </w:rPr>
  </w:style>
  <w:style w:type="table" w:customStyle="1" w:styleId="LightShading1">
    <w:name w:val="Light Shading1"/>
    <w:basedOn w:val="TableNormal"/>
    <w:next w:val="LightShading"/>
    <w:uiPriority w:val="60"/>
    <w:rsid w:val="009B227B"/>
    <w:pPr>
      <w:spacing w:after="0" w:line="240" w:lineRule="auto"/>
    </w:pPr>
    <w:rPr>
      <w:rFonts w:asciiTheme="minorHAnsi" w:hAnsiTheme="minorHAnsi" w:cstheme="minorBidi"/>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9B227B"/>
    <w:pPr>
      <w:spacing w:after="0" w:line="240" w:lineRule="auto"/>
    </w:pPr>
    <w:rPr>
      <w:rFonts w:asciiTheme="minorHAnsi" w:hAnsiTheme="minorHAnsi" w:cstheme="minorBidi"/>
      <w:color w:val="000000" w:themeColor="text1" w:themeShade="BF"/>
      <w:lang w:val="en-GB"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basedOn w:val="Normal"/>
    <w:rsid w:val="0024267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notranslate">
    <w:name w:val="notranslate"/>
    <w:basedOn w:val="DefaultParagraphFont"/>
    <w:rsid w:val="00242674"/>
  </w:style>
  <w:style w:type="character" w:customStyle="1" w:styleId="normalchar">
    <w:name w:val="normal__char"/>
    <w:basedOn w:val="DefaultParagraphFont"/>
    <w:rsid w:val="00242674"/>
  </w:style>
  <w:style w:type="paragraph" w:customStyle="1" w:styleId="Footer1">
    <w:name w:val="Footer1"/>
    <w:basedOn w:val="Normal"/>
    <w:rsid w:val="0024267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footerchar0">
    <w:name w:val="footer__char"/>
    <w:basedOn w:val="DefaultParagraphFont"/>
    <w:rsid w:val="00242674"/>
  </w:style>
  <w:style w:type="character" w:customStyle="1" w:styleId="atn">
    <w:name w:val="atn"/>
    <w:basedOn w:val="DefaultParagraphFont"/>
    <w:rsid w:val="00242674"/>
  </w:style>
  <w:style w:type="character" w:customStyle="1" w:styleId="alt-edited">
    <w:name w:val="alt-edited"/>
    <w:basedOn w:val="DefaultParagraphFont"/>
    <w:rsid w:val="00242674"/>
  </w:style>
  <w:style w:type="paragraph" w:customStyle="1" w:styleId="Arial12">
    <w:name w:val="Arial 12"/>
    <w:basedOn w:val="Normal"/>
    <w:rsid w:val="00242674"/>
    <w:pPr>
      <w:autoSpaceDE w:val="0"/>
      <w:autoSpaceDN w:val="0"/>
      <w:adjustRightInd w:val="0"/>
      <w:spacing w:after="0" w:line="360" w:lineRule="auto"/>
      <w:jc w:val="both"/>
    </w:pPr>
    <w:rPr>
      <w:rFonts w:ascii="Arial" w:eastAsia="Times New Roman" w:hAnsi="Arial" w:cs="Arial"/>
      <w:b/>
      <w:sz w:val="34"/>
      <w:szCs w:val="24"/>
      <w:lang w:bidi="ar-SA"/>
    </w:rPr>
  </w:style>
  <w:style w:type="character" w:customStyle="1" w:styleId="citation">
    <w:name w:val="citation"/>
    <w:basedOn w:val="DefaultParagraphFont"/>
    <w:rsid w:val="00856132"/>
  </w:style>
  <w:style w:type="paragraph" w:customStyle="1" w:styleId="norm">
    <w:name w:val="norm"/>
    <w:basedOn w:val="Normal"/>
    <w:rsid w:val="00EC77E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b">
    <w:name w:val="mb"/>
    <w:basedOn w:val="DefaultParagraphFont"/>
    <w:rsid w:val="00EC77EF"/>
  </w:style>
  <w:style w:type="character" w:customStyle="1" w:styleId="reference-accessdate">
    <w:name w:val="reference-accessdate"/>
    <w:basedOn w:val="DefaultParagraphFont"/>
    <w:rsid w:val="00EC77EF"/>
  </w:style>
  <w:style w:type="character" w:customStyle="1" w:styleId="st">
    <w:name w:val="st"/>
    <w:basedOn w:val="DefaultParagraphFont"/>
    <w:rsid w:val="00EC77EF"/>
  </w:style>
  <w:style w:type="character" w:customStyle="1" w:styleId="ListParagraphChar">
    <w:name w:val="List Paragraph Char"/>
    <w:link w:val="ListParagraph"/>
    <w:uiPriority w:val="34"/>
    <w:rsid w:val="00C17B1E"/>
  </w:style>
  <w:style w:type="paragraph" w:customStyle="1" w:styleId="contentbody">
    <w:name w:val="contentbody"/>
    <w:basedOn w:val="Normal"/>
    <w:rsid w:val="00DF7D4B"/>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ref-journal">
    <w:name w:val="ref-journal"/>
    <w:basedOn w:val="DefaultParagraphFont"/>
    <w:rsid w:val="00DF7D4B"/>
  </w:style>
  <w:style w:type="character" w:customStyle="1" w:styleId="ref-vol">
    <w:name w:val="ref-vol"/>
    <w:basedOn w:val="DefaultParagraphFont"/>
    <w:rsid w:val="00DF7D4B"/>
  </w:style>
  <w:style w:type="character" w:customStyle="1" w:styleId="ref-title">
    <w:name w:val="ref-title"/>
    <w:basedOn w:val="DefaultParagraphFont"/>
    <w:rsid w:val="00DF7D4B"/>
  </w:style>
</w:styles>
</file>

<file path=word/webSettings.xml><?xml version="1.0" encoding="utf-8"?>
<w:webSettings xmlns:r="http://schemas.openxmlformats.org/officeDocument/2006/relationships" xmlns:w="http://schemas.openxmlformats.org/wordprocessingml/2006/main">
  <w:divs>
    <w:div w:id="112602229">
      <w:bodyDiv w:val="1"/>
      <w:marLeft w:val="0"/>
      <w:marRight w:val="0"/>
      <w:marTop w:val="0"/>
      <w:marBottom w:val="0"/>
      <w:divBdr>
        <w:top w:val="none" w:sz="0" w:space="0" w:color="auto"/>
        <w:left w:val="none" w:sz="0" w:space="0" w:color="auto"/>
        <w:bottom w:val="none" w:sz="0" w:space="0" w:color="auto"/>
        <w:right w:val="none" w:sz="0" w:space="0" w:color="auto"/>
      </w:divBdr>
      <w:divsChild>
        <w:div w:id="458451145">
          <w:marLeft w:val="0"/>
          <w:marRight w:val="0"/>
          <w:marTop w:val="0"/>
          <w:marBottom w:val="0"/>
          <w:divBdr>
            <w:top w:val="none" w:sz="0" w:space="0" w:color="auto"/>
            <w:left w:val="none" w:sz="0" w:space="0" w:color="auto"/>
            <w:bottom w:val="none" w:sz="0" w:space="0" w:color="auto"/>
            <w:right w:val="none" w:sz="0" w:space="0" w:color="auto"/>
          </w:divBdr>
        </w:div>
      </w:divsChild>
    </w:div>
    <w:div w:id="551381045">
      <w:bodyDiv w:val="1"/>
      <w:marLeft w:val="0"/>
      <w:marRight w:val="0"/>
      <w:marTop w:val="0"/>
      <w:marBottom w:val="0"/>
      <w:divBdr>
        <w:top w:val="none" w:sz="0" w:space="0" w:color="auto"/>
        <w:left w:val="none" w:sz="0" w:space="0" w:color="auto"/>
        <w:bottom w:val="none" w:sz="0" w:space="0" w:color="auto"/>
        <w:right w:val="none" w:sz="0" w:space="0" w:color="auto"/>
      </w:divBdr>
    </w:div>
    <w:div w:id="13015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Gupta%20S%5Bauth%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Kumar%20A%5Bauth%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umar%20J%5Bauth%5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term=Jain%20D%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DC10-F0F0-40A6-90DD-7478F4F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 Corporation.</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zUSER</dc:creator>
  <cp:lastModifiedBy>manish009</cp:lastModifiedBy>
  <cp:revision>2</cp:revision>
  <cp:lastPrinted>2015-11-01T11:21:00Z</cp:lastPrinted>
  <dcterms:created xsi:type="dcterms:W3CDTF">2015-11-20T08:07:00Z</dcterms:created>
  <dcterms:modified xsi:type="dcterms:W3CDTF">2015-11-20T08:07:00Z</dcterms:modified>
</cp:coreProperties>
</file>